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E4" w:rsidRPr="009A78D7" w:rsidRDefault="00D23877" w:rsidP="00D23877">
      <w:pPr>
        <w:jc w:val="center"/>
        <w:rPr>
          <w:b/>
          <w:caps/>
          <w:sz w:val="28"/>
          <w:szCs w:val="28"/>
        </w:rPr>
      </w:pPr>
      <w:r w:rsidRPr="009A78D7">
        <w:rPr>
          <w:b/>
          <w:caps/>
          <w:sz w:val="28"/>
          <w:szCs w:val="28"/>
        </w:rPr>
        <w:t xml:space="preserve">Informatīvais </w:t>
      </w:r>
      <w:smartTag w:uri="schemas-tilde-lv/tildestengine" w:element="veidnes">
        <w:smartTagPr>
          <w:attr w:name="text" w:val="ziņojums"/>
          <w:attr w:name="baseform" w:val="ziņojums"/>
          <w:attr w:name="id" w:val="-1"/>
        </w:smartTagPr>
        <w:r w:rsidRPr="009A78D7">
          <w:rPr>
            <w:b/>
            <w:caps/>
            <w:sz w:val="28"/>
            <w:szCs w:val="28"/>
          </w:rPr>
          <w:t>ziņojums</w:t>
        </w:r>
      </w:smartTag>
    </w:p>
    <w:p w:rsidR="00D23877" w:rsidRPr="009A78D7" w:rsidRDefault="00D23877" w:rsidP="002F1A3F">
      <w:pPr>
        <w:pStyle w:val="BodyTextIndent"/>
        <w:ind w:firstLine="0"/>
        <w:jc w:val="center"/>
      </w:pPr>
      <w:r w:rsidRPr="009A78D7">
        <w:t xml:space="preserve"> „Par </w:t>
      </w:r>
      <w:r w:rsidR="002F1A3F" w:rsidRPr="009A78D7">
        <w:t xml:space="preserve">2013.gada </w:t>
      </w:r>
      <w:r w:rsidR="008253D1" w:rsidRPr="009A78D7">
        <w:t>18.jūnijā</w:t>
      </w:r>
      <w:r w:rsidR="002F1A3F" w:rsidRPr="009A78D7">
        <w:t xml:space="preserve"> </w:t>
      </w:r>
      <w:r w:rsidRPr="009A78D7">
        <w:t xml:space="preserve">Eiropas Savienības </w:t>
      </w:r>
      <w:r w:rsidR="00E222E4" w:rsidRPr="009A78D7">
        <w:t xml:space="preserve">Vides </w:t>
      </w:r>
      <w:r w:rsidRPr="009A78D7">
        <w:t>padom</w:t>
      </w:r>
      <w:r w:rsidR="002F1A3F" w:rsidRPr="009A78D7">
        <w:t>ē izskatāmajiem jautājumiem</w:t>
      </w:r>
      <w:r w:rsidRPr="009A78D7">
        <w:t xml:space="preserve">” </w:t>
      </w:r>
    </w:p>
    <w:p w:rsidR="00BF7CA9" w:rsidRDefault="00BF7CA9" w:rsidP="00B961C8">
      <w:pPr>
        <w:spacing w:after="120"/>
        <w:jc w:val="both"/>
      </w:pPr>
    </w:p>
    <w:p w:rsidR="00B22819" w:rsidRPr="00292DAA" w:rsidRDefault="00D17744" w:rsidP="006A3161">
      <w:pPr>
        <w:ind w:firstLine="567"/>
        <w:jc w:val="both"/>
      </w:pPr>
      <w:r w:rsidRPr="00292DAA">
        <w:t xml:space="preserve">Informatīvais ziņojums sagatavots par Vides aizsardzības un </w:t>
      </w:r>
      <w:r>
        <w:t>r</w:t>
      </w:r>
      <w:r w:rsidRPr="00292DAA">
        <w:t>eģionālās attīstības ministrijas kompetencē esošiem jautājumiem</w:t>
      </w:r>
      <w:r>
        <w:t>.</w:t>
      </w:r>
      <w:r w:rsidRPr="00292DAA">
        <w:t xml:space="preserve"> </w:t>
      </w:r>
      <w:r>
        <w:t xml:space="preserve">Attiecībā uz progresa ziņojumu par priekšlikumu Eiropas Parlamenta un Padomes Direktīvai, ar kuru groza Direktīvu 98/70/EK un Direktīvu 2009/28/EK </w:t>
      </w:r>
      <w:r w:rsidR="006C03CE">
        <w:t xml:space="preserve">ir spēkā </w:t>
      </w:r>
      <w:r>
        <w:t>Ekonomikas ministrija</w:t>
      </w:r>
      <w:r w:rsidR="006C03CE">
        <w:t>s</w:t>
      </w:r>
      <w:r>
        <w:t xml:space="preserve"> sagatavo</w:t>
      </w:r>
      <w:r w:rsidR="006C03CE">
        <w:t>tā Latvijas nacionālā pozīcija</w:t>
      </w:r>
      <w:r w:rsidR="006C03CE" w:rsidRPr="006C03CE">
        <w:t xml:space="preserve"> </w:t>
      </w:r>
      <w:r w:rsidR="006C03CE">
        <w:t>uz 2013.gada 7.jūnija Transporta, Telekomunikāciju un Enerģētikas Ministru Padomi, kas apstiprināta Ministru kabineta 2013.gada 4.jūnijā</w:t>
      </w:r>
      <w:r w:rsidR="00961055" w:rsidRPr="00292DAA">
        <w:t>.</w:t>
      </w:r>
    </w:p>
    <w:p w:rsidR="00CF0340" w:rsidRPr="00791F0A" w:rsidRDefault="00CF0340" w:rsidP="006A3161">
      <w:pPr>
        <w:ind w:firstLine="567"/>
        <w:jc w:val="both"/>
        <w:rPr>
          <w:b/>
          <w:i/>
        </w:rPr>
      </w:pPr>
    </w:p>
    <w:p w:rsidR="006D1E27" w:rsidRDefault="006D1E27" w:rsidP="006D1E27">
      <w:pPr>
        <w:jc w:val="both"/>
        <w:rPr>
          <w:b/>
          <w:sz w:val="28"/>
          <w:szCs w:val="28"/>
          <w:u w:val="single"/>
        </w:rPr>
      </w:pPr>
      <w:r w:rsidRPr="00B25ACF">
        <w:rPr>
          <w:b/>
          <w:sz w:val="28"/>
          <w:szCs w:val="28"/>
          <w:u w:val="single"/>
        </w:rPr>
        <w:t>Latvijas viedoklis par sanāksmes laikā diskutējamiem jautājumiem</w:t>
      </w:r>
    </w:p>
    <w:p w:rsidR="006D1E27" w:rsidRPr="00B25ACF" w:rsidRDefault="006D1E27" w:rsidP="006D1E27">
      <w:pPr>
        <w:jc w:val="both"/>
        <w:rPr>
          <w:b/>
          <w:sz w:val="28"/>
          <w:szCs w:val="28"/>
          <w:u w:val="single"/>
        </w:rPr>
      </w:pPr>
    </w:p>
    <w:p w:rsidR="006D1E27" w:rsidRPr="00961C02" w:rsidRDefault="006D1E27" w:rsidP="006D1E27">
      <w:pPr>
        <w:jc w:val="both"/>
        <w:rPr>
          <w:b/>
          <w:i/>
          <w:sz w:val="28"/>
          <w:szCs w:val="28"/>
          <w:u w:val="single"/>
        </w:rPr>
      </w:pPr>
      <w:r w:rsidRPr="00CD3012">
        <w:rPr>
          <w:rStyle w:val="Strong"/>
          <w:color w:val="000000"/>
          <w:sz w:val="28"/>
          <w:szCs w:val="28"/>
        </w:rPr>
        <w:t>1.</w:t>
      </w:r>
      <w:r w:rsidR="00553DAB">
        <w:rPr>
          <w:rStyle w:val="Strong"/>
          <w:color w:val="000000"/>
          <w:sz w:val="28"/>
          <w:szCs w:val="28"/>
        </w:rPr>
        <w:t xml:space="preserve"> </w:t>
      </w:r>
      <w:r w:rsidRPr="00CD3012">
        <w:rPr>
          <w:b/>
          <w:sz w:val="28"/>
          <w:szCs w:val="28"/>
        </w:rPr>
        <w:t>Priekšlikums – Eiropas Parlamenta un Padomes Direktīva, ar kuru groza Direktīvu 98/70/EK, kas attiecas uz benzīna un dīzeļdegvielu kvalitāti, un Direktīvu 2009/28/EK par atjaunojamo energoresursu izmantošanas veicināšanu (</w:t>
      </w:r>
      <w:r w:rsidRPr="00CD3012">
        <w:rPr>
          <w:b/>
          <w:bCs/>
          <w:sz w:val="28"/>
          <w:szCs w:val="28"/>
        </w:rPr>
        <w:t>pirmais lasījums</w:t>
      </w:r>
      <w:r w:rsidRPr="00CD3012">
        <w:rPr>
          <w:b/>
          <w:sz w:val="28"/>
          <w:szCs w:val="28"/>
        </w:rPr>
        <w:t>) Starpiestāžu lieta: 2012/0288(COD)</w:t>
      </w:r>
      <w:r w:rsidRPr="00961C02">
        <w:rPr>
          <w:rStyle w:val="Strong"/>
          <w:b w:val="0"/>
          <w:color w:val="000000"/>
          <w:sz w:val="28"/>
          <w:szCs w:val="28"/>
        </w:rPr>
        <w:t xml:space="preserve"> </w:t>
      </w:r>
      <w:r w:rsidRPr="00961C02">
        <w:rPr>
          <w:rStyle w:val="Strong"/>
          <w:b w:val="0"/>
          <w:i/>
          <w:color w:val="000000"/>
          <w:sz w:val="28"/>
          <w:szCs w:val="28"/>
        </w:rPr>
        <w:t>(Progresa ziņojums)</w:t>
      </w:r>
    </w:p>
    <w:p w:rsidR="006D1E27" w:rsidRDefault="006D1E27" w:rsidP="006D1E27">
      <w:pPr>
        <w:ind w:firstLine="567"/>
        <w:jc w:val="both"/>
        <w:rPr>
          <w:i/>
          <w:color w:val="000000"/>
        </w:rPr>
      </w:pPr>
      <w:r>
        <w:rPr>
          <w:i/>
          <w:color w:val="000000"/>
        </w:rPr>
        <w:t xml:space="preserve"> Ministri tiks</w:t>
      </w:r>
      <w:r w:rsidRPr="00292DAA">
        <w:rPr>
          <w:i/>
          <w:color w:val="000000"/>
        </w:rPr>
        <w:t xml:space="preserve"> informē</w:t>
      </w:r>
      <w:r>
        <w:rPr>
          <w:i/>
          <w:color w:val="000000"/>
        </w:rPr>
        <w:t>ti</w:t>
      </w:r>
      <w:r w:rsidRPr="00292DAA">
        <w:rPr>
          <w:i/>
          <w:color w:val="000000"/>
        </w:rPr>
        <w:t xml:space="preserve"> par </w:t>
      </w:r>
      <w:r>
        <w:rPr>
          <w:i/>
          <w:color w:val="000000"/>
        </w:rPr>
        <w:t xml:space="preserve">panākto progresu </w:t>
      </w:r>
      <w:r w:rsidRPr="00292DAA">
        <w:rPr>
          <w:i/>
          <w:color w:val="000000"/>
        </w:rPr>
        <w:t>direktīvas projekta virzība</w:t>
      </w:r>
      <w:r>
        <w:rPr>
          <w:i/>
          <w:color w:val="000000"/>
        </w:rPr>
        <w:t>i Eiropas Savienības Padomes darba grupā</w:t>
      </w:r>
      <w:r w:rsidRPr="00292DAA">
        <w:rPr>
          <w:i/>
          <w:color w:val="000000"/>
        </w:rPr>
        <w:t xml:space="preserve">. </w:t>
      </w:r>
      <w:r>
        <w:rPr>
          <w:i/>
          <w:color w:val="000000"/>
        </w:rPr>
        <w:t xml:space="preserve">Ekonomikas ministrijas sagatavotais </w:t>
      </w:r>
      <w:r w:rsidRPr="00292DAA">
        <w:rPr>
          <w:i/>
          <w:color w:val="000000"/>
        </w:rPr>
        <w:t>Latvijas</w:t>
      </w:r>
      <w:r>
        <w:rPr>
          <w:i/>
          <w:color w:val="000000"/>
        </w:rPr>
        <w:t xml:space="preserve"> nacionālās</w:t>
      </w:r>
      <w:r w:rsidRPr="00292DAA">
        <w:rPr>
          <w:i/>
          <w:color w:val="000000"/>
        </w:rPr>
        <w:t xml:space="preserve"> pozīcija</w:t>
      </w:r>
      <w:r>
        <w:rPr>
          <w:i/>
          <w:color w:val="000000"/>
        </w:rPr>
        <w:t>s projekts</w:t>
      </w:r>
      <w:r w:rsidRPr="00292DAA">
        <w:rPr>
          <w:i/>
          <w:color w:val="000000"/>
        </w:rPr>
        <w:t xml:space="preserve"> šajā jautājumā apstiprināt</w:t>
      </w:r>
      <w:r>
        <w:rPr>
          <w:i/>
          <w:color w:val="000000"/>
        </w:rPr>
        <w:t>s</w:t>
      </w:r>
      <w:r w:rsidRPr="00292DAA">
        <w:rPr>
          <w:i/>
          <w:color w:val="000000"/>
        </w:rPr>
        <w:t xml:space="preserve"> Ministru kabinet</w:t>
      </w:r>
      <w:r>
        <w:rPr>
          <w:i/>
          <w:color w:val="000000"/>
        </w:rPr>
        <w:t>a</w:t>
      </w:r>
      <w:r w:rsidRPr="00292DAA">
        <w:rPr>
          <w:i/>
          <w:color w:val="000000"/>
        </w:rPr>
        <w:t xml:space="preserve"> 2013.gada 4.jūnij</w:t>
      </w:r>
      <w:r>
        <w:rPr>
          <w:i/>
          <w:color w:val="000000"/>
        </w:rPr>
        <w:t>a sēdē</w:t>
      </w:r>
      <w:r w:rsidRPr="00292DAA">
        <w:rPr>
          <w:i/>
          <w:color w:val="000000"/>
        </w:rPr>
        <w:t xml:space="preserve">. </w:t>
      </w:r>
    </w:p>
    <w:p w:rsidR="00D66C5A" w:rsidRPr="00292DAA" w:rsidRDefault="00D66C5A" w:rsidP="00E84EAB">
      <w:pPr>
        <w:ind w:firstLine="567"/>
        <w:jc w:val="both"/>
        <w:rPr>
          <w:b/>
          <w:color w:val="00000A"/>
        </w:rPr>
      </w:pPr>
      <w:r w:rsidRPr="00292DAA">
        <w:rPr>
          <w:color w:val="00000A"/>
        </w:rPr>
        <w:t xml:space="preserve">Eiropas Komisija (turpmāk – EK) 2012. gada 17. oktobrī nāca klajā ar Priekšlikumu Eiropas Parlamenta un Padomes Direktīvai, ar ko groza Direktīvu 98/70/EK, kas attiecas uz benzīna un dīzeļdegvielu kvalitāti un Direktīvu 2009/28/EK par atjaunojamo energoresursu veicināšanu (turpmāk – Priekšlikums), ar kuru tiks aizsākta pāreja uz </w:t>
      </w:r>
      <w:proofErr w:type="spellStart"/>
      <w:r w:rsidRPr="00292DAA">
        <w:rPr>
          <w:bCs/>
          <w:color w:val="00000A"/>
        </w:rPr>
        <w:t>biodegvielām</w:t>
      </w:r>
      <w:proofErr w:type="spellEnd"/>
      <w:r w:rsidRPr="00292DAA">
        <w:rPr>
          <w:bCs/>
          <w:color w:val="00000A"/>
        </w:rPr>
        <w:t>, kas dod ievērojamus siltumnīcefekta gāzu (turpmāk – SEG) emisiju ietaupījumus arī tad, ja aprēķinos ietver netiešu zemes izmantojuma izmaiņu (</w:t>
      </w:r>
      <w:proofErr w:type="spellStart"/>
      <w:r w:rsidRPr="00292DAA">
        <w:rPr>
          <w:bCs/>
          <w:i/>
          <w:iCs/>
          <w:color w:val="00000A"/>
        </w:rPr>
        <w:t>indirect</w:t>
      </w:r>
      <w:proofErr w:type="spellEnd"/>
      <w:r w:rsidRPr="00292DAA">
        <w:rPr>
          <w:bCs/>
          <w:i/>
          <w:iCs/>
          <w:color w:val="00000A"/>
        </w:rPr>
        <w:t xml:space="preserve"> </w:t>
      </w:r>
      <w:proofErr w:type="spellStart"/>
      <w:r w:rsidRPr="00292DAA">
        <w:rPr>
          <w:bCs/>
          <w:i/>
          <w:iCs/>
          <w:color w:val="00000A"/>
        </w:rPr>
        <w:t>land</w:t>
      </w:r>
      <w:proofErr w:type="spellEnd"/>
      <w:r w:rsidRPr="00292DAA">
        <w:rPr>
          <w:bCs/>
          <w:i/>
          <w:iCs/>
          <w:color w:val="00000A"/>
        </w:rPr>
        <w:t xml:space="preserve"> </w:t>
      </w:r>
      <w:proofErr w:type="spellStart"/>
      <w:r w:rsidRPr="00292DAA">
        <w:rPr>
          <w:bCs/>
          <w:i/>
          <w:iCs/>
          <w:color w:val="00000A"/>
        </w:rPr>
        <w:t>use</w:t>
      </w:r>
      <w:proofErr w:type="spellEnd"/>
      <w:r w:rsidRPr="00292DAA">
        <w:rPr>
          <w:bCs/>
          <w:i/>
          <w:iCs/>
          <w:color w:val="00000A"/>
        </w:rPr>
        <w:t xml:space="preserve"> </w:t>
      </w:r>
      <w:proofErr w:type="spellStart"/>
      <w:r w:rsidRPr="00292DAA">
        <w:rPr>
          <w:bCs/>
          <w:i/>
          <w:iCs/>
          <w:color w:val="00000A"/>
        </w:rPr>
        <w:t>change</w:t>
      </w:r>
      <w:proofErr w:type="spellEnd"/>
      <w:r w:rsidRPr="00292DAA">
        <w:rPr>
          <w:bCs/>
          <w:i/>
          <w:iCs/>
          <w:color w:val="00000A"/>
        </w:rPr>
        <w:t xml:space="preserve"> ILUC</w:t>
      </w:r>
      <w:r w:rsidRPr="00292DAA">
        <w:rPr>
          <w:bCs/>
          <w:color w:val="00000A"/>
        </w:rPr>
        <w:t xml:space="preserve">) radītās emisijas, tajā pašā laikā ievērojot jau esošo investīciju apmērus. </w:t>
      </w:r>
      <w:r w:rsidR="000E0C12" w:rsidRPr="00292DAA">
        <w:rPr>
          <w:b/>
          <w:color w:val="00000A"/>
        </w:rPr>
        <w:t>P</w:t>
      </w:r>
      <w:r w:rsidRPr="00292DAA">
        <w:rPr>
          <w:b/>
          <w:bCs/>
          <w:color w:val="00000A"/>
        </w:rPr>
        <w:t>riekšlikums paredz</w:t>
      </w:r>
      <w:r w:rsidRPr="00292DAA">
        <w:rPr>
          <w:b/>
          <w:color w:val="00000A"/>
        </w:rPr>
        <w:t>:</w:t>
      </w:r>
    </w:p>
    <w:p w:rsidR="00D66C5A" w:rsidRPr="00292DAA" w:rsidRDefault="00D66C5A" w:rsidP="00D66C5A">
      <w:pPr>
        <w:pStyle w:val="NormalWeb"/>
        <w:numPr>
          <w:ilvl w:val="0"/>
          <w:numId w:val="38"/>
        </w:numPr>
        <w:tabs>
          <w:tab w:val="clear" w:pos="720"/>
          <w:tab w:val="left" w:pos="284"/>
        </w:tabs>
        <w:spacing w:before="0" w:after="0"/>
        <w:ind w:left="0" w:right="0" w:firstLine="567"/>
        <w:jc w:val="both"/>
        <w:rPr>
          <w:color w:val="00000A"/>
          <w:sz w:val="24"/>
          <w:szCs w:val="24"/>
        </w:rPr>
      </w:pPr>
      <w:r w:rsidRPr="00292DAA">
        <w:rPr>
          <w:sz w:val="24"/>
          <w:szCs w:val="24"/>
        </w:rPr>
        <w:t xml:space="preserve">Ierobežot līdz 5% tradicionālo biodegvielu (ar </w:t>
      </w:r>
      <w:r w:rsidRPr="00292DAA">
        <w:rPr>
          <w:i/>
          <w:iCs/>
          <w:sz w:val="24"/>
          <w:szCs w:val="24"/>
        </w:rPr>
        <w:t>ILUC</w:t>
      </w:r>
      <w:r w:rsidRPr="00292DAA">
        <w:rPr>
          <w:sz w:val="24"/>
          <w:szCs w:val="24"/>
        </w:rPr>
        <w:t xml:space="preserve"> emisiju risku) ieskaiti Direktīvas 2009/28/EK mērķu</w:t>
      </w:r>
      <w:r w:rsidRPr="00292DAA">
        <w:rPr>
          <w:rStyle w:val="FootnoteReference"/>
          <w:sz w:val="24"/>
          <w:szCs w:val="24"/>
        </w:rPr>
        <w:footnoteReference w:id="1"/>
      </w:r>
      <w:r w:rsidRPr="00292DAA">
        <w:rPr>
          <w:sz w:val="24"/>
          <w:szCs w:val="24"/>
        </w:rPr>
        <w:t xml:space="preserve"> (turpmāk – AER 10% mērķis transportā) sasniegšanā.</w:t>
      </w:r>
    </w:p>
    <w:p w:rsidR="00D66C5A" w:rsidRPr="00292DAA" w:rsidRDefault="00D66C5A" w:rsidP="00D66C5A">
      <w:pPr>
        <w:pStyle w:val="NormalWeb"/>
        <w:numPr>
          <w:ilvl w:val="0"/>
          <w:numId w:val="38"/>
        </w:numPr>
        <w:tabs>
          <w:tab w:val="clear" w:pos="720"/>
          <w:tab w:val="left" w:pos="284"/>
        </w:tabs>
        <w:spacing w:before="0" w:after="0"/>
        <w:ind w:left="0" w:right="0" w:firstLine="567"/>
        <w:jc w:val="both"/>
        <w:rPr>
          <w:sz w:val="24"/>
          <w:szCs w:val="24"/>
        </w:rPr>
      </w:pPr>
      <w:r w:rsidRPr="00292DAA">
        <w:rPr>
          <w:sz w:val="24"/>
          <w:szCs w:val="24"/>
        </w:rPr>
        <w:t>Uzlabot biodegvielu ražošanas procesu SEG rādītājus (samazināt attiecīgās emisijas), paaugstinot SEG ietaupījuma robežvērtību līdz 60% jaunām iekārtām, bet aizsargājot iekārtas, kas jau ir ekspluatācijā uz 2014. gada 1. jūliju.</w:t>
      </w:r>
    </w:p>
    <w:p w:rsidR="00D66C5A" w:rsidRPr="00292DAA" w:rsidRDefault="00D66C5A" w:rsidP="00D66C5A">
      <w:pPr>
        <w:pStyle w:val="NormalWeb"/>
        <w:numPr>
          <w:ilvl w:val="0"/>
          <w:numId w:val="38"/>
        </w:numPr>
        <w:tabs>
          <w:tab w:val="clear" w:pos="720"/>
          <w:tab w:val="left" w:pos="284"/>
        </w:tabs>
        <w:spacing w:before="0" w:after="0"/>
        <w:ind w:left="0" w:right="0" w:firstLine="567"/>
        <w:jc w:val="both"/>
        <w:rPr>
          <w:sz w:val="24"/>
          <w:szCs w:val="24"/>
        </w:rPr>
      </w:pPr>
      <w:r w:rsidRPr="00292DAA">
        <w:rPr>
          <w:sz w:val="24"/>
          <w:szCs w:val="24"/>
        </w:rPr>
        <w:t xml:space="preserve">Veicināt modernu biodegvielu (ar zemu </w:t>
      </w:r>
      <w:r w:rsidRPr="00292DAA">
        <w:rPr>
          <w:i/>
          <w:iCs/>
          <w:sz w:val="24"/>
          <w:szCs w:val="24"/>
        </w:rPr>
        <w:t>ILUC</w:t>
      </w:r>
      <w:r w:rsidRPr="00292DAA">
        <w:rPr>
          <w:sz w:val="24"/>
          <w:szCs w:val="24"/>
        </w:rPr>
        <w:t xml:space="preserve"> rādītāju) plašāku ienākšanu tirgū, nodrošinot šīm degvielām lielāku ieskaiti Direktīvas 2009/28/EK mērķos nekā tradicionālajām </w:t>
      </w:r>
      <w:proofErr w:type="spellStart"/>
      <w:r w:rsidRPr="00292DAA">
        <w:rPr>
          <w:sz w:val="24"/>
          <w:szCs w:val="24"/>
        </w:rPr>
        <w:t>biodegvielām</w:t>
      </w:r>
      <w:proofErr w:type="spellEnd"/>
      <w:r w:rsidRPr="00292DAA">
        <w:rPr>
          <w:sz w:val="24"/>
          <w:szCs w:val="24"/>
        </w:rPr>
        <w:t>. Saskaņā ar Priekšlikumu tādu biodegvielu, ko ražo no lietotas cepamās eļļas (</w:t>
      </w:r>
      <w:proofErr w:type="spellStart"/>
      <w:r w:rsidRPr="00292DAA">
        <w:rPr>
          <w:i/>
          <w:iCs/>
          <w:sz w:val="24"/>
          <w:szCs w:val="24"/>
        </w:rPr>
        <w:t>used</w:t>
      </w:r>
      <w:proofErr w:type="spellEnd"/>
      <w:r w:rsidRPr="00292DAA">
        <w:rPr>
          <w:i/>
          <w:iCs/>
          <w:sz w:val="24"/>
          <w:szCs w:val="24"/>
        </w:rPr>
        <w:t xml:space="preserve"> </w:t>
      </w:r>
      <w:proofErr w:type="spellStart"/>
      <w:r w:rsidRPr="00292DAA">
        <w:rPr>
          <w:i/>
          <w:iCs/>
          <w:sz w:val="24"/>
          <w:szCs w:val="24"/>
        </w:rPr>
        <w:t>cooking</w:t>
      </w:r>
      <w:proofErr w:type="spellEnd"/>
      <w:r w:rsidRPr="00292DAA">
        <w:rPr>
          <w:i/>
          <w:iCs/>
          <w:sz w:val="24"/>
          <w:szCs w:val="24"/>
        </w:rPr>
        <w:t xml:space="preserve"> </w:t>
      </w:r>
      <w:proofErr w:type="spellStart"/>
      <w:r w:rsidRPr="00292DAA">
        <w:rPr>
          <w:i/>
          <w:iCs/>
          <w:sz w:val="24"/>
          <w:szCs w:val="24"/>
        </w:rPr>
        <w:t>oil</w:t>
      </w:r>
      <w:proofErr w:type="spellEnd"/>
      <w:r w:rsidRPr="00292DAA">
        <w:rPr>
          <w:sz w:val="24"/>
          <w:szCs w:val="24"/>
        </w:rPr>
        <w:t xml:space="preserve">), dzīvnieku taukiem, nepārtikas celulozes izejvielām un </w:t>
      </w:r>
      <w:proofErr w:type="spellStart"/>
      <w:r w:rsidRPr="00292DAA">
        <w:rPr>
          <w:sz w:val="24"/>
          <w:szCs w:val="24"/>
        </w:rPr>
        <w:t>lignocelulozes</w:t>
      </w:r>
      <w:proofErr w:type="spellEnd"/>
      <w:r w:rsidRPr="00292DAA">
        <w:rPr>
          <w:sz w:val="24"/>
          <w:szCs w:val="24"/>
        </w:rPr>
        <w:t xml:space="preserve"> izejvielām (izņemot zāģbaļķus un finierklučus), ieguldījumu mērķī izmantot enerģiju no atjaunojamajiem energoresursiem (turpmāk – AER) uzskata par divkāršu salīdzinājumā ar citu biodegvielu ieguldījumu. Savukārt, biodegvielu, kas ražo no aļģēm, jauktu sadzīves atkritumu biomasas frakcijas, rūpniecības atkritumu biomasas frakcijas, salmiem, kūtsmēsliem un notekūdeņu dūņām, tukšiem palmu augļu ķekariem, </w:t>
      </w:r>
      <w:proofErr w:type="spellStart"/>
      <w:r w:rsidRPr="00292DAA">
        <w:rPr>
          <w:sz w:val="24"/>
          <w:szCs w:val="24"/>
        </w:rPr>
        <w:t>taleļļas</w:t>
      </w:r>
      <w:proofErr w:type="spellEnd"/>
      <w:r w:rsidRPr="00292DAA">
        <w:rPr>
          <w:sz w:val="24"/>
          <w:szCs w:val="24"/>
        </w:rPr>
        <w:t xml:space="preserve"> darvas, </w:t>
      </w:r>
      <w:proofErr w:type="spellStart"/>
      <w:r w:rsidRPr="00292DAA">
        <w:rPr>
          <w:sz w:val="24"/>
          <w:szCs w:val="24"/>
        </w:rPr>
        <w:t>jēlglicerīna</w:t>
      </w:r>
      <w:proofErr w:type="spellEnd"/>
      <w:r w:rsidRPr="00292DAA">
        <w:rPr>
          <w:sz w:val="24"/>
          <w:szCs w:val="24"/>
        </w:rPr>
        <w:t xml:space="preserve">, cukurniedru raušiem, vīnogu čagām un vīna nogulsnēm, riekstu čaumalām, </w:t>
      </w:r>
      <w:r w:rsidRPr="00292DAA">
        <w:rPr>
          <w:sz w:val="24"/>
          <w:szCs w:val="24"/>
        </w:rPr>
        <w:lastRenderedPageBreak/>
        <w:t>sēnalām, kukurūzas vālītēm, kā arī mizas, zariem, lapām, zāģskaidām un ēveļskaidām, uzskata par četrkāršu salīdzinājumā ar citu biodegvielu ieguldījumu.</w:t>
      </w:r>
    </w:p>
    <w:p w:rsidR="00D66C5A" w:rsidRPr="00292DAA" w:rsidRDefault="00D66C5A" w:rsidP="00D66C5A">
      <w:pPr>
        <w:pStyle w:val="NormalWeb"/>
        <w:numPr>
          <w:ilvl w:val="0"/>
          <w:numId w:val="38"/>
        </w:numPr>
        <w:tabs>
          <w:tab w:val="clear" w:pos="720"/>
          <w:tab w:val="left" w:pos="284"/>
        </w:tabs>
        <w:spacing w:before="0" w:after="0"/>
        <w:ind w:left="0" w:right="0" w:firstLine="567"/>
        <w:jc w:val="both"/>
        <w:rPr>
          <w:sz w:val="24"/>
          <w:szCs w:val="24"/>
        </w:rPr>
      </w:pPr>
      <w:r w:rsidRPr="00292DAA">
        <w:rPr>
          <w:sz w:val="24"/>
          <w:szCs w:val="24"/>
        </w:rPr>
        <w:t>Pilnveidot SEG emisiju ziņošanu, prasot dalībvalstīm un degvielas piegādātājiem ziņot par biodegvielu aplēstajām netiešo zemes izmantojuma izmaiņu emisijām.</w:t>
      </w:r>
    </w:p>
    <w:p w:rsidR="00D66C5A" w:rsidRPr="00292DAA" w:rsidRDefault="00D66C5A" w:rsidP="000E0C12">
      <w:pPr>
        <w:pStyle w:val="NormalWeb"/>
        <w:spacing w:before="0" w:after="0"/>
        <w:ind w:left="0" w:right="-1" w:firstLine="567"/>
        <w:jc w:val="both"/>
        <w:rPr>
          <w:sz w:val="24"/>
          <w:szCs w:val="24"/>
        </w:rPr>
      </w:pPr>
      <w:r w:rsidRPr="00292DAA">
        <w:rPr>
          <w:sz w:val="24"/>
          <w:szCs w:val="24"/>
        </w:rPr>
        <w:t>Orientējošās debates par Priekšlikumu notika TTE ministru padomes 2013.</w:t>
      </w:r>
      <w:r w:rsidRPr="00292DAA">
        <w:rPr>
          <w:color w:val="00000A"/>
          <w:sz w:val="24"/>
          <w:szCs w:val="24"/>
        </w:rPr>
        <w:t> </w:t>
      </w:r>
      <w:r w:rsidRPr="00292DAA">
        <w:rPr>
          <w:sz w:val="24"/>
          <w:szCs w:val="24"/>
        </w:rPr>
        <w:t>gada 22.</w:t>
      </w:r>
      <w:r w:rsidRPr="00292DAA">
        <w:rPr>
          <w:color w:val="00000A"/>
          <w:sz w:val="24"/>
          <w:szCs w:val="24"/>
        </w:rPr>
        <w:t> </w:t>
      </w:r>
      <w:r w:rsidRPr="00292DAA">
        <w:rPr>
          <w:sz w:val="24"/>
          <w:szCs w:val="24"/>
        </w:rPr>
        <w:t>februāra sanāksmē un Vides ministru padomes 2013.</w:t>
      </w:r>
      <w:r w:rsidRPr="00292DAA">
        <w:rPr>
          <w:color w:val="00000A"/>
          <w:sz w:val="24"/>
          <w:szCs w:val="24"/>
        </w:rPr>
        <w:t> </w:t>
      </w:r>
      <w:r w:rsidRPr="00292DAA">
        <w:rPr>
          <w:sz w:val="24"/>
          <w:szCs w:val="24"/>
        </w:rPr>
        <w:t>gada 21.</w:t>
      </w:r>
      <w:r w:rsidRPr="00292DAA">
        <w:rPr>
          <w:color w:val="00000A"/>
          <w:sz w:val="24"/>
          <w:szCs w:val="24"/>
        </w:rPr>
        <w:t> </w:t>
      </w:r>
      <w:r w:rsidRPr="00292DAA">
        <w:rPr>
          <w:sz w:val="24"/>
          <w:szCs w:val="24"/>
        </w:rPr>
        <w:t>marta sanāksmē. Pēc politiskajām debatēm un no tiem izrietošajiem norādījumiem, Priekšlikuma pārskatītais teksts un Īrijas prezidentūras</w:t>
      </w:r>
      <w:proofErr w:type="gramStart"/>
      <w:r w:rsidRPr="00292DAA">
        <w:rPr>
          <w:sz w:val="24"/>
          <w:szCs w:val="24"/>
        </w:rPr>
        <w:t xml:space="preserve">  </w:t>
      </w:r>
      <w:proofErr w:type="gramEnd"/>
      <w:r w:rsidRPr="00292DAA">
        <w:rPr>
          <w:sz w:val="24"/>
          <w:szCs w:val="24"/>
        </w:rPr>
        <w:t xml:space="preserve">piedāvātie alternatīvie risinājumu varianti aktīvi tika skatīti </w:t>
      </w:r>
      <w:proofErr w:type="spellStart"/>
      <w:r w:rsidRPr="00292DAA">
        <w:rPr>
          <w:sz w:val="24"/>
          <w:szCs w:val="24"/>
        </w:rPr>
        <w:t>Ad-hoc</w:t>
      </w:r>
      <w:proofErr w:type="spellEnd"/>
      <w:r w:rsidRPr="00292DAA">
        <w:rPr>
          <w:sz w:val="24"/>
          <w:szCs w:val="24"/>
        </w:rPr>
        <w:t xml:space="preserve"> enerģētikas darba grupā par ILUC jautājumiem (turpmāk – ILUC darba grupa) (2013.</w:t>
      </w:r>
      <w:r w:rsidRPr="00292DAA">
        <w:rPr>
          <w:color w:val="00000A"/>
          <w:sz w:val="24"/>
          <w:szCs w:val="24"/>
        </w:rPr>
        <w:t> </w:t>
      </w:r>
      <w:r w:rsidRPr="00292DAA">
        <w:rPr>
          <w:sz w:val="24"/>
          <w:szCs w:val="24"/>
        </w:rPr>
        <w:t>gada 26.</w:t>
      </w:r>
      <w:r w:rsidRPr="00292DAA">
        <w:rPr>
          <w:color w:val="00000A"/>
          <w:sz w:val="24"/>
          <w:szCs w:val="24"/>
        </w:rPr>
        <w:t> </w:t>
      </w:r>
      <w:r w:rsidRPr="00292DAA">
        <w:rPr>
          <w:sz w:val="24"/>
          <w:szCs w:val="24"/>
        </w:rPr>
        <w:t>februārī, 26.</w:t>
      </w:r>
      <w:r w:rsidRPr="00292DAA">
        <w:rPr>
          <w:color w:val="00000A"/>
          <w:sz w:val="24"/>
          <w:szCs w:val="24"/>
        </w:rPr>
        <w:t> </w:t>
      </w:r>
      <w:r w:rsidRPr="00292DAA">
        <w:rPr>
          <w:sz w:val="24"/>
          <w:szCs w:val="24"/>
        </w:rPr>
        <w:t>martā, 16.</w:t>
      </w:r>
      <w:r w:rsidRPr="00292DAA">
        <w:rPr>
          <w:color w:val="00000A"/>
          <w:sz w:val="24"/>
          <w:szCs w:val="24"/>
        </w:rPr>
        <w:t> </w:t>
      </w:r>
      <w:r w:rsidRPr="00292DAA">
        <w:rPr>
          <w:sz w:val="24"/>
          <w:szCs w:val="24"/>
        </w:rPr>
        <w:t>martā, 14. un 21.</w:t>
      </w:r>
      <w:r w:rsidRPr="00292DAA">
        <w:rPr>
          <w:color w:val="00000A"/>
          <w:sz w:val="24"/>
          <w:szCs w:val="24"/>
        </w:rPr>
        <w:t> </w:t>
      </w:r>
      <w:r w:rsidRPr="00292DAA">
        <w:rPr>
          <w:sz w:val="24"/>
          <w:szCs w:val="24"/>
        </w:rPr>
        <w:t xml:space="preserve">maijā). </w:t>
      </w:r>
    </w:p>
    <w:p w:rsidR="00CD5F4F" w:rsidRPr="00292DAA" w:rsidRDefault="00CD5F4F" w:rsidP="00CD5F4F">
      <w:pPr>
        <w:ind w:firstLine="720"/>
        <w:jc w:val="both"/>
      </w:pPr>
      <w:r w:rsidRPr="00292DAA">
        <w:t xml:space="preserve">Īrijas prezidentūra 2013. gada 23. maija nāca klajā ar </w:t>
      </w:r>
      <w:r w:rsidRPr="00292DAA">
        <w:rPr>
          <w:bCs/>
        </w:rPr>
        <w:t>Progresa ziņojumu</w:t>
      </w:r>
      <w:r w:rsidRPr="00292DAA">
        <w:t xml:space="preserve"> par Priekšlikumu, kurā atspoguļoti galvenie iepriekš minētajā darba grupā apspriestie jautājumi (5% ierobežojums, ILUC faktori, SEG ietaupījuma robežvērtība jaunām iekārtām, krāpšanas riska novēršana, biodegvielu ilgtspējības sertifikācijas shēmu savstarpējā atzīšana, deleģētie akti, direktīvas pārskatīšana un EK ziņojums 2015. gadā).</w:t>
      </w:r>
    </w:p>
    <w:p w:rsidR="00CD5F4F" w:rsidRPr="00292DAA" w:rsidRDefault="00CD5F4F" w:rsidP="00CD5F4F">
      <w:pPr>
        <w:ind w:firstLine="720"/>
        <w:jc w:val="both"/>
      </w:pPr>
      <w:r w:rsidRPr="00292DAA">
        <w:t xml:space="preserve">Prezidentūra, ņemot vērā dalībvalstu izteiktos komentārus par Priekšlikumu, ILUC darba grupā ir piedāvājusi vairākus </w:t>
      </w:r>
      <w:r w:rsidRPr="00292DAA">
        <w:rPr>
          <w:bCs/>
        </w:rPr>
        <w:t>alternatīvus risinājumu variantus</w:t>
      </w:r>
      <w:r w:rsidRPr="00292DAA">
        <w:t xml:space="preserve">, kas varētu risināt ILUC faktora ietekmi uz tradicionālajām </w:t>
      </w:r>
      <w:proofErr w:type="spellStart"/>
      <w:r w:rsidRPr="00292DAA">
        <w:t>biodegvielām</w:t>
      </w:r>
      <w:proofErr w:type="spellEnd"/>
      <w:r w:rsidRPr="00292DAA">
        <w:t xml:space="preserve"> un veicināt pāreju uz modernajām </w:t>
      </w:r>
      <w:proofErr w:type="spellStart"/>
      <w:r w:rsidRPr="00292DAA">
        <w:t>biodegvielām</w:t>
      </w:r>
      <w:proofErr w:type="spellEnd"/>
      <w:r w:rsidRPr="00292DAA">
        <w:t xml:space="preserve">. </w:t>
      </w:r>
    </w:p>
    <w:p w:rsidR="00366067" w:rsidRPr="00366067" w:rsidRDefault="00D66C5A" w:rsidP="00366067">
      <w:pPr>
        <w:pStyle w:val="NormalWeb"/>
        <w:spacing w:before="0" w:after="0"/>
        <w:ind w:left="0" w:right="-1" w:firstLine="567"/>
        <w:jc w:val="both"/>
        <w:rPr>
          <w:bCs/>
          <w:sz w:val="24"/>
          <w:szCs w:val="24"/>
        </w:rPr>
      </w:pPr>
      <w:r w:rsidRPr="00292DAA">
        <w:rPr>
          <w:sz w:val="24"/>
          <w:szCs w:val="24"/>
        </w:rPr>
        <w:t xml:space="preserve">Vienlaicīgi </w:t>
      </w:r>
      <w:r w:rsidR="00CD5F4F" w:rsidRPr="00292DAA">
        <w:rPr>
          <w:sz w:val="24"/>
          <w:szCs w:val="24"/>
        </w:rPr>
        <w:t>Īrijas prezidentūra</w:t>
      </w:r>
      <w:r w:rsidRPr="00292DAA">
        <w:rPr>
          <w:sz w:val="24"/>
          <w:szCs w:val="24"/>
        </w:rPr>
        <w:t xml:space="preserve"> nāca klajā ar </w:t>
      </w:r>
      <w:r w:rsidRPr="00292DAA">
        <w:rPr>
          <w:b/>
          <w:bCs/>
          <w:sz w:val="24"/>
          <w:szCs w:val="24"/>
        </w:rPr>
        <w:t xml:space="preserve">priekšlikumu par reizinātāja palielināšanu elektroenerģijai, kas saražota no </w:t>
      </w:r>
      <w:r w:rsidRPr="00292DAA">
        <w:rPr>
          <w:b/>
          <w:sz w:val="24"/>
          <w:szCs w:val="24"/>
        </w:rPr>
        <w:t>AER</w:t>
      </w:r>
      <w:r w:rsidRPr="00292DAA">
        <w:rPr>
          <w:b/>
          <w:bCs/>
          <w:sz w:val="24"/>
          <w:szCs w:val="24"/>
        </w:rPr>
        <w:t xml:space="preserve"> un kas tiek patērētā elektriskajos transporta</w:t>
      </w:r>
      <w:bookmarkStart w:id="0" w:name="_GoBack"/>
      <w:bookmarkEnd w:id="0"/>
      <w:r w:rsidRPr="00292DAA">
        <w:rPr>
          <w:b/>
          <w:bCs/>
          <w:sz w:val="24"/>
          <w:szCs w:val="24"/>
        </w:rPr>
        <w:t xml:space="preserve"> līdzekļos</w:t>
      </w:r>
      <w:r w:rsidRPr="00292DAA">
        <w:rPr>
          <w:sz w:val="24"/>
          <w:szCs w:val="24"/>
        </w:rPr>
        <w:t>, kas nav autotransporta līdzekļi, un elektriskajos autotransporta līdzekļos</w:t>
      </w:r>
      <w:r w:rsidRPr="00292DAA">
        <w:rPr>
          <w:rStyle w:val="FootnoteReference"/>
          <w:sz w:val="24"/>
          <w:szCs w:val="24"/>
        </w:rPr>
        <w:footnoteReference w:id="2"/>
      </w:r>
      <w:r w:rsidR="00961C02">
        <w:rPr>
          <w:sz w:val="24"/>
          <w:szCs w:val="24"/>
        </w:rPr>
        <w:t>.</w:t>
      </w:r>
      <w:r w:rsidR="00366067">
        <w:rPr>
          <w:sz w:val="24"/>
          <w:szCs w:val="24"/>
        </w:rPr>
        <w:t xml:space="preserve"> </w:t>
      </w:r>
      <w:r w:rsidR="00366067" w:rsidRPr="00366067">
        <w:rPr>
          <w:bCs/>
          <w:iCs/>
          <w:sz w:val="24"/>
          <w:szCs w:val="24"/>
        </w:rPr>
        <w:t>„Lai aprēķinātu elektroenerģijas, ko patērē elektriskajos transportlīdzekļos, kas nav autoceļu transports, uzskata, ka šis patēriņš 2,5 reizes pārsniedz no AER saražotas elektroenerģijas daudzumu. Savukārt, lai aprēķinātu elektroenerģijas dalu, kas saražota no AER un ko patērē elektriskajos autoceļu transportlīdzekļos, uzskata, ka šis patēriņš 5 reizes pārsniedz no AER saražotās elektroenerģijas daudzumu.”</w:t>
      </w:r>
    </w:p>
    <w:p w:rsidR="00AC3935" w:rsidRPr="00366067" w:rsidRDefault="00366067" w:rsidP="00366067">
      <w:pPr>
        <w:pStyle w:val="NormalWeb"/>
        <w:spacing w:before="0" w:after="0"/>
        <w:ind w:left="0" w:right="-1" w:firstLine="567"/>
        <w:jc w:val="both"/>
        <w:rPr>
          <w:sz w:val="24"/>
          <w:szCs w:val="24"/>
        </w:rPr>
      </w:pPr>
      <w:r w:rsidRPr="00366067">
        <w:rPr>
          <w:bCs/>
          <w:sz w:val="24"/>
          <w:szCs w:val="24"/>
        </w:rPr>
        <w:t>Latvija atzinīgi vērtē EK Priekšlikumu, ar kuru paredzēts ierobežot zemes pārveidi, ko izraisa tradicionālo biodegvielu, kas tiek ražotas no pārtikā un barībā izmantojamiem kultūraugiem, un panākt to, ka ES izmantotā biodegviela mazāk kaitē klimatam, kā arī EK piedāvāto risinājumu ierobežot tradicionālo biodegvielu izmantošanu, taču atkārtoti uzsver, ka uzskata, ka noteikto mērķi - 10 % enerģijas no atjaunojamajiem energoresursiem transporta patēriņā līdz 2020. gadam ir jāatstāj katras dalībvalsts kompetencē (</w:t>
      </w:r>
      <w:r w:rsidRPr="00366067">
        <w:rPr>
          <w:bCs/>
          <w:iCs/>
          <w:sz w:val="24"/>
          <w:szCs w:val="24"/>
          <w:u w:val="single"/>
        </w:rPr>
        <w:t>ievērojot subsidiaritātes principu</w:t>
      </w:r>
      <w:r w:rsidRPr="00366067">
        <w:rPr>
          <w:bCs/>
          <w:iCs/>
          <w:sz w:val="24"/>
          <w:szCs w:val="24"/>
        </w:rPr>
        <w:t>).</w:t>
      </w:r>
      <w:r w:rsidRPr="00366067">
        <w:rPr>
          <w:sz w:val="24"/>
          <w:szCs w:val="24"/>
        </w:rPr>
        <w:t xml:space="preserve"> Latvija ietur neitrālu pozīciju par zemes oglekļa krājas maiņas netiešās zemes izmantošanas izmaiņas (</w:t>
      </w:r>
      <w:proofErr w:type="spellStart"/>
      <w:r w:rsidRPr="00366067">
        <w:rPr>
          <w:iCs/>
          <w:sz w:val="24"/>
          <w:szCs w:val="24"/>
        </w:rPr>
        <w:t>indirect</w:t>
      </w:r>
      <w:proofErr w:type="spellEnd"/>
      <w:r w:rsidRPr="00366067">
        <w:rPr>
          <w:iCs/>
          <w:sz w:val="24"/>
          <w:szCs w:val="24"/>
        </w:rPr>
        <w:t xml:space="preserve"> </w:t>
      </w:r>
      <w:proofErr w:type="spellStart"/>
      <w:r w:rsidRPr="00366067">
        <w:rPr>
          <w:iCs/>
          <w:sz w:val="24"/>
          <w:szCs w:val="24"/>
        </w:rPr>
        <w:t>land</w:t>
      </w:r>
      <w:proofErr w:type="spellEnd"/>
      <w:r w:rsidRPr="00366067">
        <w:rPr>
          <w:iCs/>
          <w:sz w:val="24"/>
          <w:szCs w:val="24"/>
        </w:rPr>
        <w:t xml:space="preserve"> </w:t>
      </w:r>
      <w:proofErr w:type="spellStart"/>
      <w:r w:rsidRPr="00366067">
        <w:rPr>
          <w:iCs/>
          <w:sz w:val="24"/>
          <w:szCs w:val="24"/>
        </w:rPr>
        <w:t>use</w:t>
      </w:r>
      <w:proofErr w:type="spellEnd"/>
      <w:r w:rsidRPr="00366067">
        <w:rPr>
          <w:iCs/>
          <w:sz w:val="24"/>
          <w:szCs w:val="24"/>
        </w:rPr>
        <w:t xml:space="preserve"> – ILUC</w:t>
      </w:r>
      <w:r w:rsidRPr="00366067">
        <w:rPr>
          <w:sz w:val="24"/>
          <w:szCs w:val="24"/>
        </w:rPr>
        <w:t xml:space="preserve">) kritēriju iekļaušanu ilgtspējības kritēriju aprēķinā līdz 2020.gadam. Latvija kopumā atbalsta, ka biodegvielu, t.sk. no salmiem, zāģskaidām un ēveļskaidām, ieguldījumu uzskata par četrkāršu salīdzinājumā ar citu biodegvielu ieguldījumu. </w:t>
      </w:r>
      <w:r w:rsidRPr="00366067">
        <w:rPr>
          <w:bCs/>
          <w:sz w:val="24"/>
          <w:szCs w:val="24"/>
        </w:rPr>
        <w:t>Taču vienlaicīgi Latvija ir rezervēta savā nostājā par tādu izejvielu plašu izmatošanu biodegvielas ražošanā, kas vienlaikus ir nepieciešami augsnes auglības saglabāšanai (salmi).</w:t>
      </w:r>
      <w:r w:rsidRPr="00366067">
        <w:rPr>
          <w:sz w:val="24"/>
          <w:szCs w:val="24"/>
        </w:rPr>
        <w:t xml:space="preserve"> Latvija atbalsta minimālās SEG ietaupījuma robežvērtības palielināšanu. Latvija neatbalsta priekšlikumu par atsevišķa mērķa/sliekšņa noteikšanu jaunajām </w:t>
      </w:r>
      <w:proofErr w:type="spellStart"/>
      <w:r w:rsidRPr="00366067">
        <w:rPr>
          <w:sz w:val="24"/>
          <w:szCs w:val="24"/>
        </w:rPr>
        <w:t>biodegvielām</w:t>
      </w:r>
      <w:proofErr w:type="spellEnd"/>
      <w:r w:rsidRPr="00366067">
        <w:rPr>
          <w:sz w:val="24"/>
          <w:szCs w:val="24"/>
        </w:rPr>
        <w:t xml:space="preserve"> (</w:t>
      </w:r>
      <w:proofErr w:type="spellStart"/>
      <w:r w:rsidRPr="00366067">
        <w:rPr>
          <w:iCs/>
          <w:sz w:val="24"/>
          <w:szCs w:val="24"/>
        </w:rPr>
        <w:t>advanced</w:t>
      </w:r>
      <w:proofErr w:type="spellEnd"/>
      <w:r w:rsidRPr="00366067">
        <w:rPr>
          <w:iCs/>
          <w:sz w:val="24"/>
          <w:szCs w:val="24"/>
        </w:rPr>
        <w:t xml:space="preserve"> </w:t>
      </w:r>
      <w:proofErr w:type="spellStart"/>
      <w:r w:rsidRPr="00366067">
        <w:rPr>
          <w:iCs/>
          <w:sz w:val="24"/>
          <w:szCs w:val="24"/>
        </w:rPr>
        <w:t>biofuels</w:t>
      </w:r>
      <w:proofErr w:type="spellEnd"/>
      <w:r w:rsidRPr="00366067">
        <w:rPr>
          <w:sz w:val="24"/>
          <w:szCs w:val="24"/>
        </w:rPr>
        <w:t xml:space="preserve">). </w:t>
      </w:r>
      <w:r w:rsidRPr="00366067">
        <w:rPr>
          <w:sz w:val="24"/>
          <w:szCs w:val="24"/>
          <w:shd w:val="clear" w:color="auto" w:fill="FFFFFF"/>
        </w:rPr>
        <w:t xml:space="preserve">Latvija atbalsta </w:t>
      </w:r>
      <w:r w:rsidRPr="00366067">
        <w:rPr>
          <w:sz w:val="24"/>
          <w:szCs w:val="24"/>
        </w:rPr>
        <w:t>priekšlikumu par reizinātāj</w:t>
      </w:r>
      <w:r w:rsidRPr="00366067">
        <w:rPr>
          <w:bCs/>
          <w:sz w:val="24"/>
          <w:szCs w:val="24"/>
        </w:rPr>
        <w:t>u</w:t>
      </w:r>
      <w:r w:rsidRPr="00366067">
        <w:rPr>
          <w:sz w:val="24"/>
          <w:szCs w:val="24"/>
        </w:rPr>
        <w:t xml:space="preserve"> palielināšanu elektroenerģijai,</w:t>
      </w:r>
      <w:r w:rsidRPr="00366067">
        <w:rPr>
          <w:bCs/>
          <w:sz w:val="24"/>
          <w:szCs w:val="24"/>
        </w:rPr>
        <w:t xml:space="preserve"> kas saražota no AER un kas tiek patērētā elektriskajos transporta līdzekļos</w:t>
      </w:r>
      <w:r w:rsidR="00AC3935" w:rsidRPr="00366067">
        <w:rPr>
          <w:sz w:val="24"/>
          <w:szCs w:val="24"/>
        </w:rPr>
        <w:t>.</w:t>
      </w:r>
    </w:p>
    <w:p w:rsidR="00911D55" w:rsidRPr="00DD4799" w:rsidRDefault="00911D55" w:rsidP="00E8737A">
      <w:pPr>
        <w:jc w:val="both"/>
        <w:rPr>
          <w:color w:val="000000"/>
          <w:sz w:val="28"/>
          <w:szCs w:val="28"/>
        </w:rPr>
      </w:pPr>
    </w:p>
    <w:p w:rsidR="00890BE2" w:rsidRPr="00BA3F7B" w:rsidRDefault="00C076CC" w:rsidP="00083B40">
      <w:pPr>
        <w:pStyle w:val="ListParagraph"/>
        <w:ind w:left="0"/>
        <w:jc w:val="both"/>
        <w:rPr>
          <w:b/>
          <w:sz w:val="28"/>
          <w:szCs w:val="28"/>
        </w:rPr>
      </w:pPr>
      <w:r>
        <w:rPr>
          <w:b/>
          <w:sz w:val="28"/>
          <w:szCs w:val="28"/>
        </w:rPr>
        <w:t xml:space="preserve">2. </w:t>
      </w:r>
      <w:r w:rsidR="00BA3F7B" w:rsidRPr="00BA3F7B">
        <w:rPr>
          <w:b/>
          <w:sz w:val="28"/>
          <w:szCs w:val="28"/>
        </w:rPr>
        <w:t>Turpmākie pasākumi saistībā ar Ilgtspējīgai attīstībai veltīto ANO konferenci ("Rio+20")</w:t>
      </w:r>
      <w:r w:rsidR="00890BE2" w:rsidRPr="00BA3F7B">
        <w:rPr>
          <w:b/>
          <w:sz w:val="28"/>
          <w:szCs w:val="28"/>
        </w:rPr>
        <w:t>:</w:t>
      </w:r>
    </w:p>
    <w:p w:rsidR="00890BE2" w:rsidRPr="00BA3F7B" w:rsidRDefault="00BA3F7B" w:rsidP="00890BE2">
      <w:pPr>
        <w:pStyle w:val="ListParagraph"/>
        <w:numPr>
          <w:ilvl w:val="0"/>
          <w:numId w:val="36"/>
        </w:numPr>
        <w:ind w:left="0" w:firstLine="0"/>
        <w:jc w:val="both"/>
        <w:rPr>
          <w:b/>
          <w:i/>
          <w:sz w:val="28"/>
          <w:szCs w:val="28"/>
        </w:rPr>
      </w:pPr>
      <w:r w:rsidRPr="00BA3F7B">
        <w:rPr>
          <w:b/>
          <w:sz w:val="28"/>
          <w:szCs w:val="28"/>
        </w:rPr>
        <w:lastRenderedPageBreak/>
        <w:t>visaptveroša programma laikposmam pēc 2015. gada</w:t>
      </w:r>
      <w:r w:rsidRPr="00BA3F7B">
        <w:rPr>
          <w:b/>
          <w:i/>
          <w:sz w:val="28"/>
          <w:szCs w:val="28"/>
        </w:rPr>
        <w:t xml:space="preserve"> </w:t>
      </w:r>
      <w:r w:rsidR="00890BE2" w:rsidRPr="00BA3F7B">
        <w:rPr>
          <w:b/>
          <w:i/>
          <w:sz w:val="28"/>
          <w:szCs w:val="28"/>
        </w:rPr>
        <w:t>(Padomes secinājumu apstiprināšana)</w:t>
      </w:r>
    </w:p>
    <w:p w:rsidR="00890BE2" w:rsidRPr="00292DAA" w:rsidRDefault="00952753" w:rsidP="00890BE2">
      <w:pPr>
        <w:pStyle w:val="ListParagraph"/>
        <w:ind w:left="0"/>
        <w:jc w:val="both"/>
        <w:rPr>
          <w:i/>
        </w:rPr>
      </w:pPr>
      <w:r w:rsidRPr="00292DAA">
        <w:rPr>
          <w:i/>
        </w:rPr>
        <w:tab/>
      </w:r>
      <w:r w:rsidR="005470FE" w:rsidRPr="00796A67">
        <w:rPr>
          <w:i/>
        </w:rPr>
        <w:t>2013.gada 28.maija Ārlietu padomē tika apstiprināti Padomes secinājumi par šo jautājumu. Š.g. 18.</w:t>
      </w:r>
      <w:r w:rsidR="009706A7">
        <w:rPr>
          <w:i/>
        </w:rPr>
        <w:t>j</w:t>
      </w:r>
      <w:r w:rsidR="005470FE" w:rsidRPr="00796A67">
        <w:rPr>
          <w:i/>
        </w:rPr>
        <w:t>ūnijā tie tiks virzīti apstiprināšanai Vides padomē un formālai pieņemšanai Vispārējo lietu padomē š.g. 25. jūnijā</w:t>
      </w:r>
      <w:r w:rsidR="00890BE2" w:rsidRPr="00292DAA">
        <w:rPr>
          <w:i/>
        </w:rPr>
        <w:t>.</w:t>
      </w:r>
    </w:p>
    <w:p w:rsidR="00650DCE" w:rsidRPr="00292DAA" w:rsidRDefault="00650DCE" w:rsidP="00650DCE">
      <w:pPr>
        <w:ind w:firstLine="567"/>
        <w:jc w:val="both"/>
      </w:pPr>
      <w:r w:rsidRPr="001C2143">
        <w:rPr>
          <w:b/>
          <w:u w:val="single"/>
        </w:rPr>
        <w:t>Latvija atbalsta</w:t>
      </w:r>
      <w:r w:rsidRPr="00292DAA">
        <w:t xml:space="preserve"> Padomes secinājumus - tajos paustos pamatprincipus Vis</w:t>
      </w:r>
      <w:r w:rsidR="00933A1F">
        <w:t>pārīgam</w:t>
      </w:r>
      <w:r w:rsidRPr="00292DAA">
        <w:t xml:space="preserve"> ietvaram pēc 2015.gada.</w:t>
      </w:r>
    </w:p>
    <w:p w:rsidR="00650DCE" w:rsidRPr="00292DAA" w:rsidRDefault="00650DCE" w:rsidP="00650DCE">
      <w:pPr>
        <w:ind w:firstLine="567"/>
        <w:jc w:val="both"/>
      </w:pPr>
      <w:r w:rsidRPr="00292DAA">
        <w:t>Latvija atbalsta Padomes secinājumus attiecībā uz kopienas sadarbības pastiprināšanas nozīmi vienot</w:t>
      </w:r>
      <w:r>
        <w:t>u</w:t>
      </w:r>
      <w:r w:rsidRPr="00292DAA">
        <w:t xml:space="preserve"> ilgtspējīgas attīstības mērķ</w:t>
      </w:r>
      <w:r>
        <w:t>u</w:t>
      </w:r>
      <w:r w:rsidRPr="00292DAA">
        <w:t xml:space="preserve"> noteikšanai un sasniegšanai, iesaistot</w:t>
      </w:r>
      <w:r>
        <w:t xml:space="preserve"> gan</w:t>
      </w:r>
      <w:r w:rsidRPr="00292DAA">
        <w:t xml:space="preserve"> publisk</w:t>
      </w:r>
      <w:r>
        <w:t>o, gan</w:t>
      </w:r>
      <w:r w:rsidRPr="00292DAA">
        <w:t xml:space="preserve"> un </w:t>
      </w:r>
      <w:r>
        <w:t>privāto</w:t>
      </w:r>
      <w:r w:rsidRPr="00292DAA">
        <w:t xml:space="preserve"> </w:t>
      </w:r>
      <w:r>
        <w:t>sektoru</w:t>
      </w:r>
      <w:r w:rsidRPr="00292DAA">
        <w:t xml:space="preserve">. Piekrītam, </w:t>
      </w:r>
      <w:r>
        <w:t xml:space="preserve">ka </w:t>
      </w:r>
      <w:r w:rsidRPr="00292DAA">
        <w:t>mērķiem jābūt vienotiem</w:t>
      </w:r>
      <w:r>
        <w:t xml:space="preserve"> visām valstīm</w:t>
      </w:r>
      <w:r w:rsidRPr="00292DAA">
        <w:t>, tai pat laikā vispārīgiem, lai saglabātu ES nostāju attiecībā uz starptautiskajā sabiedrībā esošām diskusijām.</w:t>
      </w:r>
    </w:p>
    <w:p w:rsidR="00650DCE" w:rsidRPr="00292DAA" w:rsidRDefault="00650DCE" w:rsidP="00650DCE">
      <w:pPr>
        <w:ind w:firstLine="567"/>
        <w:jc w:val="both"/>
      </w:pPr>
      <w:r w:rsidRPr="00292DAA">
        <w:t>Latvija atbalsta Padomes secinājumus par „Cilvēka cienīgu dzīvi visiem – nabadzības izskaušana un ilgtspējīgas nākotnes nodrošināšana pasaulē</w:t>
      </w:r>
      <w:r w:rsidRPr="00292DAA">
        <w:rPr>
          <w:i/>
        </w:rPr>
        <w:t>”</w:t>
      </w:r>
      <w:r>
        <w:t xml:space="preserve">, tai skaitā </w:t>
      </w:r>
      <w:r w:rsidRPr="00292DAA">
        <w:t xml:space="preserve">dokumentā minēto </w:t>
      </w:r>
      <w:r>
        <w:t xml:space="preserve">virzību uz </w:t>
      </w:r>
      <w:r w:rsidRPr="00292DAA">
        <w:t>iekļaujošu zaļo ekonomiku ar ilgtspējīgu patēriņu un ražošanu un resursu efektivitāti, iekļaujot zemu emisij</w:t>
      </w:r>
      <w:r>
        <w:t>u</w:t>
      </w:r>
      <w:r w:rsidRPr="00292DAA">
        <w:t xml:space="preserve"> enerģijas sistēmu.</w:t>
      </w:r>
    </w:p>
    <w:p w:rsidR="00650DCE" w:rsidRPr="00292DAA" w:rsidRDefault="00650DCE" w:rsidP="00650DCE">
      <w:pPr>
        <w:ind w:firstLine="567"/>
        <w:jc w:val="both"/>
      </w:pPr>
      <w:r w:rsidRPr="00292DAA">
        <w:t>Atbalstām Padomes secinājumus attiecībā uz sadarbības nozīmi ilgtspējīgai attīstībai, kas ietve</w:t>
      </w:r>
      <w:r>
        <w:t>r</w:t>
      </w:r>
      <w:r w:rsidRPr="00292DAA">
        <w:t xml:space="preserve"> starptautisko sadarbību un sadarbību valsts ietvaros starp publiskām un privātām personām. </w:t>
      </w:r>
    </w:p>
    <w:p w:rsidR="00650DCE" w:rsidRPr="00292DAA" w:rsidRDefault="00650DCE" w:rsidP="00650DCE">
      <w:pPr>
        <w:ind w:firstLine="567"/>
        <w:jc w:val="both"/>
        <w:rPr>
          <w:u w:val="single"/>
        </w:rPr>
      </w:pPr>
      <w:r w:rsidRPr="00292DAA">
        <w:rPr>
          <w:u w:val="single"/>
        </w:rPr>
        <w:t xml:space="preserve">Attiecībā uz </w:t>
      </w:r>
      <w:r w:rsidRPr="001C2143">
        <w:rPr>
          <w:b/>
          <w:u w:val="single"/>
        </w:rPr>
        <w:t>Tūkstošgades attīstības mērķu</w:t>
      </w:r>
      <w:r w:rsidRPr="00292DAA">
        <w:rPr>
          <w:u w:val="single"/>
        </w:rPr>
        <w:t xml:space="preserve"> (</w:t>
      </w:r>
      <w:proofErr w:type="spellStart"/>
      <w:r w:rsidRPr="00292DAA">
        <w:rPr>
          <w:u w:val="single"/>
        </w:rPr>
        <w:t>MDGs</w:t>
      </w:r>
      <w:proofErr w:type="spellEnd"/>
      <w:r w:rsidRPr="00292DAA">
        <w:rPr>
          <w:u w:val="single"/>
        </w:rPr>
        <w:t xml:space="preserve">) un </w:t>
      </w:r>
      <w:r w:rsidRPr="001C2143">
        <w:rPr>
          <w:b/>
          <w:u w:val="single"/>
        </w:rPr>
        <w:t>Rio+20 mērķu sasniegšanu</w:t>
      </w:r>
      <w:r w:rsidRPr="00292DAA">
        <w:rPr>
          <w:u w:val="single"/>
        </w:rPr>
        <w:t>:</w:t>
      </w:r>
    </w:p>
    <w:p w:rsidR="00650DCE" w:rsidRPr="00292DAA" w:rsidRDefault="00650DCE" w:rsidP="00650DCE">
      <w:pPr>
        <w:ind w:firstLine="567"/>
        <w:jc w:val="both"/>
      </w:pPr>
      <w:r w:rsidRPr="00292DAA">
        <w:t xml:space="preserve">Atbalstām Padomes secinājumus dalībvalstu centieniem </w:t>
      </w:r>
      <w:proofErr w:type="spellStart"/>
      <w:r w:rsidRPr="00292DAA">
        <w:t>MDGs</w:t>
      </w:r>
      <w:proofErr w:type="spellEnd"/>
      <w:r w:rsidRPr="00292DAA">
        <w:t xml:space="preserve"> mērķu sasniegšanai, novērtējam centienus </w:t>
      </w:r>
      <w:proofErr w:type="spellStart"/>
      <w:r w:rsidRPr="00292DAA">
        <w:t>MDGs</w:t>
      </w:r>
      <w:proofErr w:type="spellEnd"/>
      <w:r w:rsidRPr="00292DAA">
        <w:t xml:space="preserve"> mērķu sasniegšanā, uzskatām, ka ir nepieciešams veicināt vienmērīgu mērķu sasniegšanu dažādās valstīs un valstu iekšienē, vienlaikus jāņem vērā katras valsts iespējas un atskaites punkts.</w:t>
      </w:r>
    </w:p>
    <w:p w:rsidR="00650DCE" w:rsidRPr="00292DAA" w:rsidRDefault="00650DCE" w:rsidP="00650DCE">
      <w:pPr>
        <w:ind w:firstLine="567"/>
        <w:jc w:val="both"/>
      </w:pPr>
      <w:r w:rsidRPr="00292DAA">
        <w:t>Latvija piekrīt Padomes secinājumam par nepieciešamību veidot valsts vadlīnijas</w:t>
      </w:r>
      <w:proofErr w:type="gramStart"/>
      <w:r w:rsidRPr="00292DAA">
        <w:t xml:space="preserve">  </w:t>
      </w:r>
      <w:proofErr w:type="spellStart"/>
      <w:proofErr w:type="gramEnd"/>
      <w:r w:rsidRPr="00292DAA">
        <w:t>MDGs</w:t>
      </w:r>
      <w:proofErr w:type="spellEnd"/>
      <w:r w:rsidRPr="00292DAA">
        <w:t xml:space="preserve"> sasniegšanai, Latvija jau šobrīd ir izstrādājusi šādas.</w:t>
      </w:r>
    </w:p>
    <w:p w:rsidR="006A707C" w:rsidRPr="006A707C" w:rsidRDefault="006A707C" w:rsidP="006A707C">
      <w:pPr>
        <w:ind w:firstLine="567"/>
        <w:jc w:val="both"/>
      </w:pPr>
      <w:r w:rsidRPr="006A707C">
        <w:t>Latvija atbalsta Padomes secinājumus, ka iekļaujoša un vienlīdzīga zaļā ekonomika ilgtspējīgas attīstības kontekstā ir nozīmīgs rīks ilgtspējīgas attīstības sasniegšanai, ko ES īsteno ar stratēģiju „ES2020” un Eiropu Savienības (turpmāk – ES) ilgtspējīgas attīstības stratēģijas palīdzību.</w:t>
      </w:r>
    </w:p>
    <w:p w:rsidR="006A707C" w:rsidRPr="006A707C" w:rsidRDefault="006A707C" w:rsidP="006A707C">
      <w:pPr>
        <w:ind w:firstLine="567"/>
        <w:jc w:val="both"/>
      </w:pPr>
      <w:r w:rsidRPr="006A707C">
        <w:t>Padome uzsver, un Latvija atbalsta UNEP desmit gadu ietvara programmas nozīmi ilgtspējīgam patēriņam un ražošanai, lai mainītu neilgtspējīga patēriņa un ražošanas modeļus</w:t>
      </w:r>
    </w:p>
    <w:p w:rsidR="00650DCE" w:rsidRDefault="006A707C" w:rsidP="006A707C">
      <w:pPr>
        <w:ind w:firstLine="567"/>
        <w:jc w:val="both"/>
      </w:pPr>
      <w:r w:rsidRPr="006A707C">
        <w:t>Padome uzsver nepieciešamību veikt pilnu vides un sociālo izmaksu iekļaušanu cenā, kā arī pakāpenisku videi kaitīgu subsīdiju samazināšanu, kas kaitē ilgtspējīgai attīstībai, tai skaitā fosilo degvielu subsīdijas. Latvija piekrīt Padomes secinājumiem, tomēr bažas rada gan inflācijas risks, gan līdz šim subsidēto fosilās degvielas izmantotāju konkurētspējas samazināšanās. Ja par videi kaitīgu subsīdiju tiek uzskatīti arī akcīzes nodokļa atvieglojumi</w:t>
      </w:r>
      <w:r>
        <w:t xml:space="preserve"> lauksaimniecībā izmantotajai dīzeļdegvielai, šo atvieglojumu piemērošanas aizliegums būtiski samazinātu lauksaimniecības konkurētspēju un attīstības iespējas. Lauksaimniecībā izmantojamā tehnika šobrīd nav piemērota videi draudzīgāku degvielu izmantošanai, līdz ar to lauksaimniecībā izmantojamās dīzeļdegvielas atvieglojumu atcelšana nenodrošinātu videi labvēlīgāku risinājumu, bet gan tiktu bremzēta Latvijai būtiskas tautsaimniecības nozares attīstība</w:t>
      </w:r>
      <w:r w:rsidR="00650DCE" w:rsidRPr="00292DAA">
        <w:t>.</w:t>
      </w:r>
    </w:p>
    <w:p w:rsidR="00650DCE" w:rsidRPr="00292DAA" w:rsidRDefault="00650DCE" w:rsidP="00650DCE">
      <w:pPr>
        <w:ind w:firstLine="567"/>
        <w:jc w:val="both"/>
        <w:rPr>
          <w:u w:val="single"/>
        </w:rPr>
      </w:pPr>
      <w:r w:rsidRPr="001C2143">
        <w:rPr>
          <w:b/>
          <w:u w:val="single"/>
        </w:rPr>
        <w:t>Par Vis</w:t>
      </w:r>
      <w:r w:rsidR="00D33A41">
        <w:rPr>
          <w:b/>
          <w:u w:val="single"/>
        </w:rPr>
        <w:t>pārīgu</w:t>
      </w:r>
      <w:proofErr w:type="gramStart"/>
      <w:r w:rsidR="00D33A41">
        <w:rPr>
          <w:b/>
          <w:u w:val="single"/>
        </w:rPr>
        <w:t xml:space="preserve"> </w:t>
      </w:r>
      <w:r w:rsidRPr="001C2143">
        <w:rPr>
          <w:b/>
          <w:u w:val="single"/>
        </w:rPr>
        <w:t xml:space="preserve"> </w:t>
      </w:r>
      <w:proofErr w:type="gramEnd"/>
      <w:r w:rsidRPr="001C2143">
        <w:rPr>
          <w:b/>
          <w:u w:val="single"/>
        </w:rPr>
        <w:t>ietvaru pēc 2015.gada</w:t>
      </w:r>
      <w:r w:rsidRPr="00292DAA">
        <w:rPr>
          <w:u w:val="single"/>
        </w:rPr>
        <w:t>:</w:t>
      </w:r>
    </w:p>
    <w:p w:rsidR="00650DCE" w:rsidRPr="00292DAA" w:rsidRDefault="00650DCE" w:rsidP="00650DCE">
      <w:pPr>
        <w:ind w:firstLine="567"/>
        <w:jc w:val="both"/>
      </w:pPr>
      <w:r w:rsidRPr="00292DAA">
        <w:t>Latvija piekrīt Padomes secinājumiem,</w:t>
      </w:r>
      <w:r w:rsidRPr="00C9470F">
        <w:t xml:space="preserve"> </w:t>
      </w:r>
      <w:r w:rsidRPr="00292DAA">
        <w:t>ka nabadzības izskaušana visās tās dimensijā</w:t>
      </w:r>
      <w:r>
        <w:t>s</w:t>
      </w:r>
      <w:r w:rsidRPr="00292DAA">
        <w:t xml:space="preserve"> un ilgtspējīgas attīstība ir nesaraujami saistītas vienlaikus piekrīt viedoklim, ka nabadzības izskaušana vienas paaudzes laikā ir pārāk ambiciozs mērķis.</w:t>
      </w:r>
    </w:p>
    <w:p w:rsidR="007C563F" w:rsidRPr="007C563F" w:rsidRDefault="007C563F" w:rsidP="007C563F">
      <w:pPr>
        <w:ind w:firstLine="567"/>
        <w:jc w:val="both"/>
      </w:pPr>
      <w:r w:rsidRPr="007C563F">
        <w:t xml:space="preserve">Padome secina, ka nabadzības novēršana visās tās dimensijās un ilgtspējīgas attīstības veicināšana ir cieši saistītas, un tās ir jāintegrē vienotā post-2015 ietvarā. Latvija atbalsta Padomes secinājumu attiecībā uz zaļās ekonomikas dzinuļu veicināšanu ilgtspējīgas attīstības </w:t>
      </w:r>
      <w:r w:rsidRPr="007C563F">
        <w:lastRenderedPageBreak/>
        <w:t>kontekstā, iekļaujot strukturālu ekonomikas pārveidošanu. Atbalstām ilgtspējīgu izmantošanu, dabisko resursu un ekosistēmas pakalpojumu vadīšanu un aizsardzību.</w:t>
      </w:r>
    </w:p>
    <w:p w:rsidR="007C563F" w:rsidRPr="007C563F" w:rsidRDefault="007C563F" w:rsidP="007C563F">
      <w:pPr>
        <w:ind w:firstLine="567"/>
        <w:jc w:val="both"/>
      </w:pPr>
      <w:r w:rsidRPr="007C563F">
        <w:t>Latvija piekrīt Padomes secinājumiem par universālu mērķu piemērojamību, vienlaikus katrai valstij pašai nosakot tās konkrēto politiku un prioritātes, piekrītam, ka Ilgtspējīgas attīstības mērķiem (</w:t>
      </w:r>
      <w:proofErr w:type="spellStart"/>
      <w:r w:rsidRPr="007C563F">
        <w:t>SDGs</w:t>
      </w:r>
      <w:proofErr w:type="spellEnd"/>
      <w:r w:rsidRPr="007C563F">
        <w:t>) būtu jāietver tādi uzdevumi kā klimata izmaiņas un bioloģiskās daudzveidības zudums.</w:t>
      </w:r>
    </w:p>
    <w:p w:rsidR="007C563F" w:rsidRPr="007C563F" w:rsidRDefault="007C563F" w:rsidP="007C563F">
      <w:pPr>
        <w:ind w:firstLine="567"/>
        <w:jc w:val="both"/>
      </w:pPr>
      <w:r w:rsidRPr="007C563F">
        <w:t xml:space="preserve">Padome secina, ka mērķiem ir jābūt skaidriem, ambicioziem, pamatotiem, sasniedzamiem, uz darbību orientētiem, ierobežotiem un samērotiem ar uzdevumiem un rādītājiem, lai tos varētu uzraudzīt. Latvija uzskata, ka </w:t>
      </w:r>
      <w:proofErr w:type="spellStart"/>
      <w:r w:rsidRPr="007C563F">
        <w:t>SDGs</w:t>
      </w:r>
      <w:proofErr w:type="spellEnd"/>
      <w:r w:rsidRPr="007C563F">
        <w:t xml:space="preserve"> mērķiem jābūt vispārīgiem, valstij veidojot konkrētus un sasniedzamus mērķus, balstoties uz valsts atskaites punktu.</w:t>
      </w:r>
    </w:p>
    <w:p w:rsidR="007C563F" w:rsidRPr="007C563F" w:rsidRDefault="007C563F" w:rsidP="007C563F">
      <w:pPr>
        <w:ind w:firstLine="567"/>
        <w:jc w:val="both"/>
      </w:pPr>
      <w:r w:rsidRPr="007C563F">
        <w:t>Latvija piekrīt Padomes viedoklim par sadarbības nozīmi, iekļaujot visas ieinteresētās puses un privāto sektoru, atbalstām mērķu laika grafiku, izstrādājot konkrētas rīcības vidējā termiņā līdz 2030.gadam un veidojot saskaņotu ilgtermiņa vīziju.</w:t>
      </w:r>
    </w:p>
    <w:p w:rsidR="007C563F" w:rsidRPr="007C563F" w:rsidRDefault="007C563F" w:rsidP="007C563F">
      <w:pPr>
        <w:ind w:firstLine="567"/>
        <w:jc w:val="both"/>
      </w:pPr>
      <w:r w:rsidRPr="007C563F">
        <w:t>Padome uzsver nepieciešamību īstenot saskaņotu attīstības politiku visos līmeņos, sektoros. Latvija piekrīt, ka politikas saskaņotība veicinās ilgtspējīgu attīstību. Piekrītam, ka attīstības un mazāk attīstītām valstīm tiekšanās uz attīstību ir jāatspoguļo vienotajā ietvarā, vienlaikus samazinot prasības, ņemot vērā zemo atskaites punktu.</w:t>
      </w:r>
    </w:p>
    <w:p w:rsidR="007C563F" w:rsidRPr="007C563F" w:rsidRDefault="007C563F" w:rsidP="007C563F">
      <w:pPr>
        <w:ind w:firstLine="567"/>
        <w:jc w:val="both"/>
      </w:pPr>
      <w:r w:rsidRPr="007C563F">
        <w:t>Latvija piekrīt Padomes viedoklim par vienotas pieejas veidošanu attīstības finansēšanā pēc 2015.gada, veicot klimatu pārmaiņu novēršanas un bioloģiskās daudzveidības saglabāšanas pasākumus. Vēlamies uzsvērt ES līdzfinansējuma nozīmi, realizējot projektus, kuru tehniskajās specifikācijās tiek norādīti ilgtspējīgas attīstības un zaļās ekonomikas principi, veicinot ilgtspējīgu patēriņu Latvijā.</w:t>
      </w:r>
    </w:p>
    <w:p w:rsidR="007C563F" w:rsidRPr="007C563F" w:rsidRDefault="007C563F" w:rsidP="007C563F">
      <w:pPr>
        <w:ind w:firstLine="567"/>
        <w:jc w:val="both"/>
        <w:rPr>
          <w:u w:val="single"/>
        </w:rPr>
      </w:pPr>
      <w:r w:rsidRPr="007C563F">
        <w:rPr>
          <w:u w:val="single"/>
        </w:rPr>
        <w:t>Nākamie soļi</w:t>
      </w:r>
    </w:p>
    <w:p w:rsidR="00650DCE" w:rsidRPr="00292DAA" w:rsidRDefault="0038273B" w:rsidP="007C563F">
      <w:pPr>
        <w:pStyle w:val="ListParagraph"/>
        <w:ind w:left="0"/>
        <w:jc w:val="both"/>
        <w:rPr>
          <w:i/>
        </w:rPr>
      </w:pPr>
      <w:r>
        <w:tab/>
      </w:r>
      <w:r w:rsidR="007C563F" w:rsidRPr="007C563F">
        <w:t xml:space="preserve">Padome secina, ka dalībvalstīm turpmāk ir aktīvi jāiesaistās vienota pēc 2015.gada ietvara izveidē. Tā apsveic sasniegto progresu un ANO līdzšinējo darbu, t.sk. Augsta līmeņa </w:t>
      </w:r>
      <w:r w:rsidR="00396A76">
        <w:t>pro</w:t>
      </w:r>
      <w:r w:rsidR="007C563F" w:rsidRPr="007C563F">
        <w:t>minento personu ziņojuma izstrādi, Atvērto darba grupu Ilgtspējīgas attīstības mērķu izstrādei un reģionālās, nacionālās un tematiskās konsultācijas kā būtisku ieguldījumu vienotā ietvara izveidē.</w:t>
      </w:r>
    </w:p>
    <w:p w:rsidR="00650DCE" w:rsidRDefault="00650DCE" w:rsidP="00650DCE">
      <w:pPr>
        <w:pStyle w:val="ListParagraph"/>
        <w:ind w:left="0" w:right="-1"/>
        <w:jc w:val="both"/>
        <w:rPr>
          <w:sz w:val="22"/>
          <w:szCs w:val="22"/>
        </w:rPr>
      </w:pPr>
    </w:p>
    <w:p w:rsidR="00650DCE" w:rsidRPr="00BA3F7B" w:rsidRDefault="00650DCE" w:rsidP="00650DCE">
      <w:pPr>
        <w:pStyle w:val="ListParagraph"/>
        <w:numPr>
          <w:ilvl w:val="0"/>
          <w:numId w:val="36"/>
        </w:numPr>
        <w:ind w:left="0" w:firstLine="0"/>
        <w:jc w:val="both"/>
        <w:rPr>
          <w:b/>
          <w:bCs/>
          <w:sz w:val="28"/>
          <w:szCs w:val="28"/>
        </w:rPr>
      </w:pPr>
      <w:r w:rsidRPr="00BA3F7B">
        <w:rPr>
          <w:b/>
          <w:sz w:val="28"/>
          <w:szCs w:val="28"/>
        </w:rPr>
        <w:t xml:space="preserve">Ziņojuma, ko ANO ģenerālsekretāra Augsta līmeņa prominentu personu darba grupa ir sagatavojusi par attīstības programmu laikposmam pēc 2015. gada, saistība ar ilgtspējīgas attīstības mērķiem </w:t>
      </w:r>
      <w:r w:rsidRPr="00BA3F7B">
        <w:rPr>
          <w:b/>
          <w:i/>
          <w:sz w:val="28"/>
          <w:szCs w:val="28"/>
        </w:rPr>
        <w:t>(viedokļu apmaiņa)</w:t>
      </w:r>
    </w:p>
    <w:p w:rsidR="00650DCE" w:rsidRDefault="00650DCE" w:rsidP="00650DCE">
      <w:pPr>
        <w:spacing w:after="120"/>
        <w:ind w:firstLine="567"/>
        <w:jc w:val="both"/>
      </w:pPr>
      <w:r w:rsidRPr="00701EC6">
        <w:t xml:space="preserve">Ziņojumam </w:t>
      </w:r>
      <w:r w:rsidRPr="00701EC6">
        <w:rPr>
          <w:i/>
          <w:iCs/>
          <w:lang w:val="en-US"/>
        </w:rPr>
        <w:t>„A new global partnership: eradicate poverty and transform economies through sustainable development”</w:t>
      </w:r>
      <w:r w:rsidRPr="00701EC6">
        <w:rPr>
          <w:lang w:val="en-US"/>
        </w:rPr>
        <w:t xml:space="preserve"> un </w:t>
      </w:r>
      <w:r w:rsidRPr="00701EC6">
        <w:t>ziņojumam par ietvara pēc 2015.gada attīstības darba kārtību ir drīzāk informatīvs raksturs nevis noteicošs. Ziņojuma programma ir balstīta uz Tūkstošgades attīstības mērķu (</w:t>
      </w:r>
      <w:proofErr w:type="spellStart"/>
      <w:r w:rsidRPr="00701EC6">
        <w:t>MDGs</w:t>
      </w:r>
      <w:proofErr w:type="spellEnd"/>
      <w:r w:rsidRPr="00701EC6">
        <w:t>) un Rio+20 izstrādātiem principiem.</w:t>
      </w:r>
    </w:p>
    <w:p w:rsidR="00650DCE" w:rsidRDefault="00650DCE" w:rsidP="00650DCE">
      <w:pPr>
        <w:spacing w:after="120"/>
        <w:ind w:right="-1" w:firstLine="567"/>
        <w:jc w:val="both"/>
      </w:pPr>
      <w:r>
        <w:t>Ziņojuma</w:t>
      </w:r>
      <w:r w:rsidRPr="00701EC6">
        <w:t xml:space="preserve"> centrālais mērķis ir </w:t>
      </w:r>
      <w:r w:rsidRPr="00BD6817">
        <w:rPr>
          <w:bCs/>
        </w:rPr>
        <w:t>izskaust galēju nabadzību</w:t>
      </w:r>
      <w:r w:rsidRPr="00701EC6">
        <w:t xml:space="preserve"> līdz 2030.gadam, saskaņā ar </w:t>
      </w:r>
      <w:proofErr w:type="spellStart"/>
      <w:r w:rsidRPr="00701EC6">
        <w:t>MDGs</w:t>
      </w:r>
      <w:proofErr w:type="spellEnd"/>
      <w:r w:rsidRPr="00701EC6">
        <w:t xml:space="preserve"> ir nepieciešams īstenot ilgtspējīgu attīstību, nodrošināt cilvēkus ar pārtiku, ūdeni, </w:t>
      </w:r>
      <w:r>
        <w:t>kanalizāciju</w:t>
      </w:r>
      <w:r w:rsidRPr="00701EC6">
        <w:t xml:space="preserve">, izglītību un veselības aprūpi. </w:t>
      </w:r>
      <w:r>
        <w:t>Lai mazinātu globālo</w:t>
      </w:r>
      <w:r w:rsidRPr="00701EC6">
        <w:t xml:space="preserve"> tendenc</w:t>
      </w:r>
      <w:r>
        <w:t>i</w:t>
      </w:r>
      <w:r w:rsidRPr="00701EC6">
        <w:t xml:space="preserve"> – klimata pārmaiņas, uzsvars tiek likts uz ilgtspējīgas ražošanas un patēriņa modeļiem.</w:t>
      </w:r>
    </w:p>
    <w:p w:rsidR="00650DCE" w:rsidRDefault="00650DCE" w:rsidP="00650DCE">
      <w:pPr>
        <w:spacing w:after="120"/>
        <w:ind w:right="-1" w:firstLine="567"/>
        <w:jc w:val="both"/>
      </w:pPr>
      <w:r w:rsidRPr="003577BF">
        <w:rPr>
          <w:u w:val="single"/>
        </w:rPr>
        <w:t>Ietvarā tiek piedāvāti šādi mērķi</w:t>
      </w:r>
      <w:r w:rsidRPr="00292DAA">
        <w:t>: 1) nabadzības izskaušana; 2) dzimumu līdztiesība; 3) kvalitatīva izglītība un mūžizglītība; 4) nodrošināt veselīgu dzīvi; 5) nodrošināt pārtikas nodrošinājumu un uzturu; 6) nodrošināt vispārēju pieeju ūdenim un sanitārijai; 7) nodrošināt ilgtspējīgu enerģiju; 8) veidot darba vietas, ilgtspējīgus iztikas līdzekļus un vienlīdzīgu izaugsmi; 9) ilgtspējīgi vadīt dabas resursus; 10) nodrošināt labu pārvaldību un efektīvas institūcijas; 11) nodrošināt stabilas un miermīlīgas sabiedrības; 12) veidot globālu labvēlīgu vidi un rosināt ilgtermiņa finanses.</w:t>
      </w:r>
    </w:p>
    <w:p w:rsidR="00650DCE" w:rsidRPr="00292DAA" w:rsidRDefault="00650DCE" w:rsidP="00650DCE">
      <w:pPr>
        <w:spacing w:after="120"/>
        <w:ind w:right="-1" w:firstLine="567"/>
        <w:jc w:val="both"/>
      </w:pPr>
      <w:r w:rsidRPr="00292DAA">
        <w:lastRenderedPageBreak/>
        <w:t xml:space="preserve">Piekrītam, ka mērķiem jābūt vispārīgiem, tā kā mērķi tiek noteikti visām valstīm un ņemot vērā to, ka valstis attīstības līmenī ir dažādas, tādēļ ir jārēķinās ar katras valsts atskaites punktu. Latvija kopumā </w:t>
      </w:r>
      <w:r w:rsidRPr="003D14BD">
        <w:t xml:space="preserve">atbalsta </w:t>
      </w:r>
      <w:r w:rsidR="003D14BD" w:rsidRPr="003D14BD">
        <w:t>Vispārējam pēc 2015.gada ietvaram ieteiktos mērķus</w:t>
      </w:r>
      <w:r w:rsidRPr="003D14BD">
        <w:t>.</w:t>
      </w:r>
      <w:r w:rsidRPr="00292DAA">
        <w:t xml:space="preserve"> </w:t>
      </w:r>
    </w:p>
    <w:p w:rsidR="00650DCE" w:rsidRPr="00292DAA" w:rsidRDefault="00650DCE" w:rsidP="00650DCE">
      <w:pPr>
        <w:spacing w:after="120"/>
        <w:ind w:firstLine="567"/>
        <w:jc w:val="both"/>
      </w:pPr>
      <w:r>
        <w:rPr>
          <w:color w:val="000000"/>
        </w:rPr>
        <w:t xml:space="preserve">Ziņojumā tiek uzsvērta globālās sadarbības nozīme </w:t>
      </w:r>
      <w:r w:rsidRPr="00701EC6">
        <w:rPr>
          <w:color w:val="000000"/>
        </w:rPr>
        <w:t>vienota vispārēja pēc 2015.gada programmas ietvara izveid</w:t>
      </w:r>
      <w:r>
        <w:rPr>
          <w:color w:val="000000"/>
        </w:rPr>
        <w:t>e</w:t>
      </w:r>
      <w:r w:rsidRPr="00701EC6">
        <w:rPr>
          <w:color w:val="000000"/>
        </w:rPr>
        <w:t>i</w:t>
      </w:r>
      <w:r>
        <w:rPr>
          <w:color w:val="000000"/>
        </w:rPr>
        <w:t xml:space="preserve"> un mērķu sasniegšanai. </w:t>
      </w:r>
      <w:r>
        <w:t>K</w:t>
      </w:r>
      <w:r w:rsidRPr="00292DAA">
        <w:t>atram ilgtspējīgas attīstības mērķim un tā sasniegšanai izvirzītam uzdevumam ir jābūt uzraudzītam, kā arī i</w:t>
      </w:r>
      <w:r>
        <w:t>r</w:t>
      </w:r>
      <w:r w:rsidRPr="00292DAA">
        <w:t xml:space="preserve"> nepieciešams veikt ilgtspējīgas attīstības statistikas datu uzskaiti, nodrošināt cilvēkus ar informāciju.</w:t>
      </w:r>
      <w:r>
        <w:t xml:space="preserve"> N</w:t>
      </w:r>
      <w:r w:rsidRPr="00292DAA">
        <w:t>epieciešams veikt investīcijas jaunās tehnoloģijās, lai samazinātu neilgtspējīgas ražošanas un patēriņa pēdas nospiedumu. Piekrītam, ka cīņā ar klimata pārmaiņām būtu jāparedz veidot un pielāgot zema oglekļa un citas ilgtspējīgas tehnoloģijas.</w:t>
      </w:r>
    </w:p>
    <w:p w:rsidR="00650DCE" w:rsidRPr="00292DAA" w:rsidRDefault="00650DCE" w:rsidP="00650DCE">
      <w:pPr>
        <w:spacing w:after="120"/>
        <w:ind w:right="-1" w:firstLine="567"/>
        <w:jc w:val="both"/>
      </w:pPr>
      <w:r>
        <w:t>Ziņojum</w:t>
      </w:r>
      <w:r w:rsidR="00913A3A">
        <w:t>ā</w:t>
      </w:r>
      <w:r>
        <w:t xml:space="preserve"> teikts, ka </w:t>
      </w:r>
      <w:r w:rsidRPr="00292DAA">
        <w:t xml:space="preserve">lielākai daļai ilgtspējīgas attīstības finansējuma būtu jābūt no vietējiem resursiem, piekrītam, ka ir nepieciešams veidot ilgtspējīgas attīstības finansējumu, attīstības valstīm, kā arī mazāk attīstītām valstīm ir nepieciešams ārējs finansējums. </w:t>
      </w:r>
    </w:p>
    <w:p w:rsidR="00650DCE" w:rsidRPr="00292DAA" w:rsidRDefault="00650DCE" w:rsidP="00650DCE">
      <w:pPr>
        <w:spacing w:after="120"/>
        <w:ind w:right="-1" w:firstLine="567"/>
        <w:jc w:val="both"/>
      </w:pPr>
      <w:r>
        <w:t>P</w:t>
      </w:r>
      <w:r w:rsidRPr="00292DAA">
        <w:t xml:space="preserve">ēc 2015.gada ietvars ir ļoti plašs, paredz sociālu progresu, vienlīdzīgu izaugsmi un vides vadīšanu, tādēļ ietvaram ir jāizvirza skaidras prioritātes, kas iekļauj globālus rādītājus un nacionālus mērķus. </w:t>
      </w:r>
      <w:r>
        <w:t>M</w:t>
      </w:r>
      <w:r w:rsidRPr="00292DAA">
        <w:t xml:space="preserve">ērķiem un uzdevumiem to sasniegšanai ir jābūt ierobežotiem skaitā, ierobežotiem laikā un izmērāmiem ar rādītāju palīdzību. </w:t>
      </w:r>
      <w:r>
        <w:t>M</w:t>
      </w:r>
      <w:r w:rsidRPr="00292DAA">
        <w:t>ērķiem nav jābūt noteiktiem ar detalizētu starptautisku regulējumu palīdzību, ietvaram ir jāietver uzraudzība, kurā tiek iesaistīta valsts, privātās institūcijas un sabiedrība.</w:t>
      </w:r>
    </w:p>
    <w:p w:rsidR="00650DCE" w:rsidRDefault="00650DCE" w:rsidP="00650DCE">
      <w:pPr>
        <w:pStyle w:val="ListParagraph"/>
        <w:tabs>
          <w:tab w:val="left" w:pos="567"/>
        </w:tabs>
        <w:ind w:left="0"/>
        <w:jc w:val="both"/>
      </w:pPr>
      <w:r w:rsidRPr="00292DAA">
        <w:tab/>
      </w:r>
      <w:r>
        <w:t>Ziņojumā tiek uzsvērta</w:t>
      </w:r>
      <w:r w:rsidRPr="00292DAA">
        <w:t xml:space="preserve"> ilgtspējīga patēriņa un ražošanas modeļu</w:t>
      </w:r>
      <w:r>
        <w:t xml:space="preserve"> nozīme</w:t>
      </w:r>
      <w:r w:rsidRPr="00292DAA">
        <w:t>. Galvenā uzmanība tiek vērsta uz pārtiku, ūdeni un enerģijas sistēmu, kas ir dzīves pamats. Nozīmīgākās izmaiņas var tikt veiktas ar tehnoloģijas, inovatīva produkta, ar detalizētu politikas vadlīniju, izglītības, un uzvedības maiņas palīdzību. Valdībai ir jāziņo par sociālo un vides ietekmi, papildus, lai atbrīvotu finanšu kontus, tādējādi ietekmējot uzņēmējus izmantot inovatīvas tehnoloģijas. Valdībai ir jāveido politikas plāns līdz 2030.gadam, paredzot zaļo izaugsmi kā vienu no svarīgākiem ilgtspējīgas attīstības rīkiem. Jāveicina ilgtspējīgs patēriņš ar kampaņu palīdzību skolās, publiskās informatīvās kampaņās. Latvija uzskata, ka kampaņas nav pietiekams stimuls ilgtspējīgas attīstības veicināšanai.</w:t>
      </w:r>
    </w:p>
    <w:p w:rsidR="00650DCE" w:rsidRDefault="00650DCE" w:rsidP="00650DCE">
      <w:pPr>
        <w:pStyle w:val="ListParagraph"/>
        <w:ind w:left="0"/>
        <w:jc w:val="both"/>
      </w:pPr>
    </w:p>
    <w:p w:rsidR="00040BC2" w:rsidRPr="001658C6" w:rsidRDefault="00650DCE" w:rsidP="00040BC2">
      <w:pPr>
        <w:pStyle w:val="ListParagraph"/>
        <w:ind w:left="0"/>
        <w:jc w:val="both"/>
        <w:rPr>
          <w:b/>
        </w:rPr>
      </w:pPr>
      <w:r w:rsidRPr="003B354F">
        <w:rPr>
          <w:b/>
        </w:rPr>
        <w:tab/>
      </w:r>
      <w:r w:rsidR="00040BC2" w:rsidRPr="001658C6">
        <w:rPr>
          <w:b/>
        </w:rPr>
        <w:t>Īrijas prezidentūra diskusijai ir sagatavojusi jautājumus:</w:t>
      </w:r>
    </w:p>
    <w:p w:rsidR="00040BC2" w:rsidRPr="001658C6" w:rsidRDefault="00040BC2" w:rsidP="00040BC2">
      <w:pPr>
        <w:pStyle w:val="ListParagraph"/>
        <w:ind w:left="0"/>
        <w:jc w:val="both"/>
        <w:rPr>
          <w:b/>
        </w:rPr>
      </w:pPr>
    </w:p>
    <w:p w:rsidR="00040BC2" w:rsidRPr="001658C6" w:rsidRDefault="00040BC2" w:rsidP="00040BC2">
      <w:pPr>
        <w:numPr>
          <w:ilvl w:val="0"/>
          <w:numId w:val="50"/>
        </w:numPr>
        <w:tabs>
          <w:tab w:val="left" w:pos="567"/>
        </w:tabs>
        <w:spacing w:after="120"/>
        <w:ind w:left="0" w:firstLine="0"/>
        <w:jc w:val="both"/>
        <w:rPr>
          <w:i/>
        </w:rPr>
      </w:pPr>
      <w:r w:rsidRPr="001658C6">
        <w:rPr>
          <w:i/>
        </w:rPr>
        <w:t>Vai ziņojumā minētie mērķi un uzdevumi to sasniegšanai atspoguļo ilgtspējīgas attīstības trīs dimensijas? Vai varētu tikt uzskaitītas arī citas prioritārās jomas?</w:t>
      </w:r>
    </w:p>
    <w:p w:rsidR="00040BC2" w:rsidRPr="001658C6" w:rsidRDefault="00040BC2" w:rsidP="00040BC2">
      <w:pPr>
        <w:spacing w:after="120"/>
        <w:ind w:firstLine="567"/>
        <w:jc w:val="both"/>
      </w:pPr>
      <w:r w:rsidRPr="001658C6">
        <w:t>Latvija atbalsta ziņojumā uzskaitītos attīstības mērķus (</w:t>
      </w:r>
      <w:r>
        <w:t>5</w:t>
      </w:r>
      <w:r w:rsidRPr="001658C6">
        <w:t>.lpp) un uzdevumus to sasniegšanai, uzskatām, ka tie atbilst ilgtspējīgas attīstības 3 dimensijām – sociālā, ekonomiskā un vides. Uzskatām, ka nav nepieciešams paplašināt prioritāros mērķa virzienus, jo 12 mērķi un 54 to uzdevumi (ziņojuma 1.pielikums) ir gana plaši un universāli, kas sniedz valstij iespēj</w:t>
      </w:r>
      <w:r>
        <w:t>u</w:t>
      </w:r>
      <w:r w:rsidRPr="001658C6">
        <w:t xml:space="preserve"> pielāgot tos atbilstoši valsts vajadzībām un attīstības līmenim. </w:t>
      </w:r>
    </w:p>
    <w:p w:rsidR="00040BC2" w:rsidRPr="001658C6" w:rsidRDefault="00040BC2" w:rsidP="00040BC2">
      <w:pPr>
        <w:spacing w:after="120"/>
        <w:ind w:firstLine="567"/>
        <w:jc w:val="both"/>
      </w:pPr>
      <w:r w:rsidRPr="001658C6">
        <w:t xml:space="preserve">Piekrītam, ka ziņojumā tiek ietverti Rio+20 mērķi un netiek izslēgti </w:t>
      </w:r>
      <w:r w:rsidRPr="008301F8">
        <w:t xml:space="preserve">Tūkstošgades attīstības </w:t>
      </w:r>
      <w:r>
        <w:t>(</w:t>
      </w:r>
      <w:proofErr w:type="spellStart"/>
      <w:r w:rsidRPr="001658C6">
        <w:t>MDGs</w:t>
      </w:r>
      <w:proofErr w:type="spellEnd"/>
      <w:r>
        <w:t>)</w:t>
      </w:r>
      <w:r w:rsidRPr="001658C6">
        <w:t xml:space="preserve"> mērķi</w:t>
      </w:r>
      <w:r>
        <w:t>.</w:t>
      </w:r>
      <w:r w:rsidRPr="001658C6">
        <w:t xml:space="preserve"> Vienlaikus norādām uz jau iepriekš paustajām bažām, par</w:t>
      </w:r>
      <w:r>
        <w:t>,</w:t>
      </w:r>
      <w:r w:rsidRPr="001658C6">
        <w:t xml:space="preserve"> mūsuprāt</w:t>
      </w:r>
      <w:r>
        <w:t>,</w:t>
      </w:r>
      <w:r w:rsidRPr="001658C6">
        <w:t xml:space="preserve"> pārlieku lielām mērķa ambīcijām - nabadzības izskaušanu vienas paaudze</w:t>
      </w:r>
      <w:r>
        <w:t>s</w:t>
      </w:r>
      <w:r w:rsidRPr="001658C6">
        <w:t xml:space="preserve"> laikā.</w:t>
      </w:r>
    </w:p>
    <w:p w:rsidR="00040BC2" w:rsidRPr="001658C6" w:rsidRDefault="00040BC2" w:rsidP="00040BC2">
      <w:pPr>
        <w:numPr>
          <w:ilvl w:val="0"/>
          <w:numId w:val="50"/>
        </w:numPr>
        <w:tabs>
          <w:tab w:val="left" w:pos="567"/>
        </w:tabs>
        <w:spacing w:after="120"/>
        <w:ind w:left="0" w:firstLine="0"/>
        <w:jc w:val="both"/>
        <w:rPr>
          <w:i/>
        </w:rPr>
      </w:pPr>
      <w:r w:rsidRPr="001658C6">
        <w:rPr>
          <w:i/>
        </w:rPr>
        <w:t>Kā ilgtspējīgas attīstības mērķ</w:t>
      </w:r>
      <w:r>
        <w:rPr>
          <w:i/>
        </w:rPr>
        <w:t>us</w:t>
      </w:r>
      <w:r w:rsidRPr="001658C6">
        <w:rPr>
          <w:i/>
        </w:rPr>
        <w:t xml:space="preserve"> (</w:t>
      </w:r>
      <w:proofErr w:type="spellStart"/>
      <w:r w:rsidRPr="001658C6">
        <w:rPr>
          <w:i/>
        </w:rPr>
        <w:t>SDGs</w:t>
      </w:r>
      <w:proofErr w:type="spellEnd"/>
      <w:r w:rsidRPr="001658C6">
        <w:rPr>
          <w:i/>
        </w:rPr>
        <w:t xml:space="preserve">) un pēc 2015.gada attīstības ietvara izstrādi </w:t>
      </w:r>
      <w:r>
        <w:rPr>
          <w:i/>
        </w:rPr>
        <w:t xml:space="preserve">varētu </w:t>
      </w:r>
      <w:r w:rsidRPr="001658C6">
        <w:rPr>
          <w:i/>
        </w:rPr>
        <w:t>vislabāk ieviest pirms 2015.gada? Kā ES un tās dalībvalstis var attīstīt šos mērķus</w:t>
      </w:r>
      <w:r>
        <w:rPr>
          <w:i/>
        </w:rPr>
        <w:t xml:space="preserve">, piemēram, </w:t>
      </w:r>
      <w:r w:rsidRPr="001658C6">
        <w:rPr>
          <w:i/>
        </w:rPr>
        <w:t xml:space="preserve">regulārajās Atklātajās darba grupas sanāksmēs vai speciālos </w:t>
      </w:r>
      <w:r w:rsidRPr="004D3E90">
        <w:rPr>
          <w:i/>
        </w:rPr>
        <w:t>Tūkstošgades attīstības mērķu</w:t>
      </w:r>
      <w:r w:rsidRPr="001658C6">
        <w:rPr>
          <w:i/>
        </w:rPr>
        <w:t xml:space="preserve"> </w:t>
      </w:r>
      <w:r>
        <w:rPr>
          <w:i/>
        </w:rPr>
        <w:t>(</w:t>
      </w:r>
      <w:proofErr w:type="spellStart"/>
      <w:r w:rsidRPr="001658C6">
        <w:rPr>
          <w:i/>
        </w:rPr>
        <w:t>MDGs</w:t>
      </w:r>
      <w:proofErr w:type="spellEnd"/>
      <w:r>
        <w:rPr>
          <w:i/>
        </w:rPr>
        <w:t>)</w:t>
      </w:r>
      <w:r w:rsidRPr="001658C6">
        <w:rPr>
          <w:i/>
        </w:rPr>
        <w:t xml:space="preserve"> pasākumos un 2013.gada septembra Augsta līmeņa politiskajā forumā?</w:t>
      </w:r>
    </w:p>
    <w:p w:rsidR="00040BC2" w:rsidRPr="001658C6" w:rsidRDefault="00040BC2" w:rsidP="00040BC2">
      <w:pPr>
        <w:spacing w:after="120"/>
        <w:ind w:firstLine="567"/>
        <w:jc w:val="both"/>
      </w:pPr>
      <w:r w:rsidRPr="001658C6">
        <w:lastRenderedPageBreak/>
        <w:t xml:space="preserve">Uzskatām, ka ir nepieciešams apvienot dažādos </w:t>
      </w:r>
      <w:r w:rsidRPr="009E3C35">
        <w:t>starptautiskos procesus,</w:t>
      </w:r>
      <w:r w:rsidR="009E3C35" w:rsidRPr="009E3C35">
        <w:t xml:space="preserve"> t.i. apvienot dažādos politikas plānošanas dokumentos definētos attīstība mērķus</w:t>
      </w:r>
      <w:r w:rsidR="009E3C35">
        <w:t>,</w:t>
      </w:r>
      <w:r w:rsidRPr="001658C6">
        <w:t xml:space="preserve"> veidojot kompleksu pieeju vienotu mērķu sasniegšanai. </w:t>
      </w:r>
      <w:r>
        <w:t>Pēc 2015.gada attīstības ietvara i</w:t>
      </w:r>
      <w:r w:rsidRPr="001658C6">
        <w:t xml:space="preserve">zstrādes procesā būtu jāiesaista dažādu jomu eksperti, regulārajās darba grupās būtu jāstrādā pie vienotu mērķu </w:t>
      </w:r>
      <w:r w:rsidRPr="008473D5">
        <w:t>formulēšanas,</w:t>
      </w:r>
      <w:r w:rsidR="000E43F2" w:rsidRPr="008473D5">
        <w:t xml:space="preserve"> kas būtu pieņemami ES partneriem citviet pasaulē.</w:t>
      </w:r>
    </w:p>
    <w:p w:rsidR="00040BC2" w:rsidRPr="001658C6" w:rsidRDefault="00040BC2" w:rsidP="00040BC2">
      <w:pPr>
        <w:spacing w:after="120"/>
        <w:ind w:firstLine="567"/>
        <w:jc w:val="both"/>
      </w:pPr>
      <w:r w:rsidRPr="001658C6">
        <w:t xml:space="preserve">Eiropas Savienībai (ES) ANO Atklātajās darba grupās būtu jāpauž vienota ES pozīcija ilgtspējīgas attīstības mērķu jautājumos, lai nodrošinātu turpmāku ziņošanas procesu ANO Ģenerālajai Asamblejai un sagatavotos 2013.gada septembrī plānotajam </w:t>
      </w:r>
      <w:r w:rsidRPr="008301F8">
        <w:t>Tūkstošgades attīstības mērķu</w:t>
      </w:r>
      <w:r w:rsidRPr="001658C6">
        <w:rPr>
          <w:i/>
        </w:rPr>
        <w:t xml:space="preserve"> </w:t>
      </w:r>
      <w:r w:rsidRPr="001658C6">
        <w:t>pasākumam un Augsta līmeņa politiskajam forumam.</w:t>
      </w:r>
    </w:p>
    <w:p w:rsidR="00040BC2" w:rsidRPr="001658C6" w:rsidRDefault="00040BC2" w:rsidP="00040BC2">
      <w:pPr>
        <w:numPr>
          <w:ilvl w:val="0"/>
          <w:numId w:val="50"/>
        </w:numPr>
        <w:tabs>
          <w:tab w:val="left" w:pos="567"/>
        </w:tabs>
        <w:spacing w:after="120"/>
        <w:ind w:left="0" w:firstLine="0"/>
        <w:jc w:val="both"/>
        <w:rPr>
          <w:i/>
        </w:rPr>
      </w:pPr>
      <w:r w:rsidRPr="001658C6">
        <w:rPr>
          <w:i/>
        </w:rPr>
        <w:t xml:space="preserve">Ziņojums sniedz vairākas rekomendācijas pēc 2015.gada ietvara ieviešanai, iekļaujot globālā augsta politiskā līmeņa foruma izveidi, lai pārskatītu ieviešanas progresu, reģionālā salīdzinājuma procesu un </w:t>
      </w:r>
      <w:r w:rsidRPr="00EF138E">
        <w:rPr>
          <w:i/>
        </w:rPr>
        <w:t xml:space="preserve">globālās </w:t>
      </w:r>
      <w:r w:rsidR="00EF138E" w:rsidRPr="00EF138E">
        <w:rPr>
          <w:i/>
        </w:rPr>
        <w:t>attīstības datu partnerības</w:t>
      </w:r>
      <w:r w:rsidRPr="001658C6">
        <w:rPr>
          <w:i/>
        </w:rPr>
        <w:t>. Kāds ir ministru viedokli</w:t>
      </w:r>
      <w:r>
        <w:rPr>
          <w:i/>
        </w:rPr>
        <w:t>s</w:t>
      </w:r>
      <w:r w:rsidRPr="001658C6">
        <w:rPr>
          <w:i/>
        </w:rPr>
        <w:t xml:space="preserve"> par šādu pieeju ieviešanai?</w:t>
      </w:r>
    </w:p>
    <w:p w:rsidR="003B354F" w:rsidRPr="003B354F" w:rsidRDefault="00913A3A" w:rsidP="00040BC2">
      <w:pPr>
        <w:pStyle w:val="ListParagraph"/>
        <w:ind w:left="0"/>
        <w:jc w:val="both"/>
      </w:pPr>
      <w:r>
        <w:tab/>
      </w:r>
      <w:r w:rsidR="00040BC2" w:rsidRPr="001658C6">
        <w:t xml:space="preserve">Piekrītam globālā augsta politiskā līmeņa foruma izveides nepieciešamībai, kas ir būtiski, lai iesaistītu valstis </w:t>
      </w:r>
      <w:r w:rsidR="00EF138E">
        <w:t xml:space="preserve">iesaistītu </w:t>
      </w:r>
      <w:r w:rsidR="00040BC2" w:rsidRPr="001658C6">
        <w:t>vienotu globālu mērķu sasniegšanā, viedokļu apmaiņ</w:t>
      </w:r>
      <w:r w:rsidR="00EF138E">
        <w:t>ā</w:t>
      </w:r>
      <w:r w:rsidR="00040BC2" w:rsidRPr="001658C6">
        <w:t xml:space="preserve"> un </w:t>
      </w:r>
      <w:r w:rsidR="00EF138E">
        <w:t xml:space="preserve">to </w:t>
      </w:r>
      <w:r w:rsidR="00040BC2" w:rsidRPr="001658C6">
        <w:t>pārliecības stiprināšanai par šo mērķu aktualitāti un to ieviešanu nacionālā līmeņa plānos. Piekrītam, ka ir nepieciešams veikt statistikas datu apkopošanu</w:t>
      </w:r>
      <w:r w:rsidR="00040BC2">
        <w:t>.</w:t>
      </w:r>
      <w:r w:rsidR="00040BC2" w:rsidRPr="001658C6">
        <w:t xml:space="preserve"> </w:t>
      </w:r>
      <w:r w:rsidR="00040BC2">
        <w:t>A</w:t>
      </w:r>
      <w:r w:rsidR="00040BC2" w:rsidRPr="001658C6">
        <w:t>ttīstības tendenču pārskats un salīdzinājums sniegs ieskatu valstu ilgtspējīgas attīstības tendencēs.</w:t>
      </w:r>
      <w:r w:rsidR="00040BC2">
        <w:t xml:space="preserve"> </w:t>
      </w:r>
      <w:r w:rsidR="00040BC2" w:rsidRPr="001658C6">
        <w:t xml:space="preserve">Uzskatām, ka ir nepieciešams nodrošināt efektīvu informācijas apriti ekspertu līmenī, lai politikas izstrādātāji būtu </w:t>
      </w:r>
      <w:r w:rsidR="00040BC2">
        <w:t>informēti</w:t>
      </w:r>
      <w:r w:rsidR="00040BC2" w:rsidRPr="001658C6">
        <w:t xml:space="preserve"> par augsta līmeņa pasākumos lemtiem jautājumiem</w:t>
      </w:r>
      <w:r w:rsidR="00040BC2">
        <w:t>.</w:t>
      </w:r>
    </w:p>
    <w:p w:rsidR="002C27FF" w:rsidRPr="006052F9" w:rsidRDefault="002C27FF" w:rsidP="002C27FF">
      <w:pPr>
        <w:pStyle w:val="ListParagraph"/>
        <w:ind w:left="0"/>
        <w:jc w:val="both"/>
        <w:rPr>
          <w:bCs/>
        </w:rPr>
      </w:pPr>
    </w:p>
    <w:p w:rsidR="006052F9" w:rsidRPr="00BA3F7B" w:rsidRDefault="00C076CC" w:rsidP="00B25ACF">
      <w:pPr>
        <w:pStyle w:val="ListParagraph"/>
        <w:ind w:left="0"/>
        <w:jc w:val="both"/>
        <w:rPr>
          <w:b/>
          <w:bCs/>
          <w:sz w:val="28"/>
          <w:szCs w:val="28"/>
        </w:rPr>
      </w:pPr>
      <w:r>
        <w:rPr>
          <w:b/>
          <w:sz w:val="28"/>
          <w:szCs w:val="28"/>
        </w:rPr>
        <w:t>3</w:t>
      </w:r>
      <w:r w:rsidR="006052F9" w:rsidRPr="00BA3F7B">
        <w:rPr>
          <w:b/>
          <w:sz w:val="28"/>
          <w:szCs w:val="28"/>
        </w:rPr>
        <w:t xml:space="preserve">. </w:t>
      </w:r>
      <w:r w:rsidR="00BA3F7B" w:rsidRPr="00BA3F7B">
        <w:rPr>
          <w:b/>
          <w:sz w:val="28"/>
          <w:szCs w:val="28"/>
        </w:rPr>
        <w:t>Komisijas paziņojums "Pielāgošanās klimata pārmaiņām: ES stratēģija"</w:t>
      </w:r>
      <w:r w:rsidR="00BA3F7B" w:rsidRPr="00BA3F7B">
        <w:rPr>
          <w:b/>
          <w:i/>
          <w:sz w:val="28"/>
          <w:szCs w:val="28"/>
        </w:rPr>
        <w:t xml:space="preserve"> </w:t>
      </w:r>
      <w:r w:rsidR="00B25ACF" w:rsidRPr="00BA3F7B">
        <w:rPr>
          <w:b/>
          <w:i/>
          <w:sz w:val="28"/>
          <w:szCs w:val="28"/>
        </w:rPr>
        <w:t xml:space="preserve">(Padomes secinājumu </w:t>
      </w:r>
      <w:r w:rsidR="00BA3F7B" w:rsidRPr="00BA3F7B">
        <w:rPr>
          <w:b/>
          <w:i/>
          <w:sz w:val="28"/>
          <w:szCs w:val="28"/>
        </w:rPr>
        <w:t>pieņemšana</w:t>
      </w:r>
      <w:r w:rsidR="00B25ACF" w:rsidRPr="00BA3F7B">
        <w:rPr>
          <w:b/>
          <w:i/>
          <w:sz w:val="28"/>
          <w:szCs w:val="28"/>
        </w:rPr>
        <w:t xml:space="preserve">) </w:t>
      </w:r>
      <w:r w:rsidR="00EC43F7" w:rsidRPr="00BA3F7B">
        <w:rPr>
          <w:b/>
          <w:sz w:val="28"/>
          <w:szCs w:val="28"/>
        </w:rPr>
        <w:t xml:space="preserve"> </w:t>
      </w:r>
    </w:p>
    <w:p w:rsidR="000F4E63" w:rsidRPr="005564AE" w:rsidRDefault="001E4F20" w:rsidP="000F4E63">
      <w:pPr>
        <w:jc w:val="both"/>
        <w:rPr>
          <w:noProof/>
        </w:rPr>
      </w:pPr>
      <w:r>
        <w:rPr>
          <w:color w:val="000000"/>
        </w:rPr>
        <w:tab/>
      </w:r>
      <w:r w:rsidR="000F4E63" w:rsidRPr="005564AE">
        <w:rPr>
          <w:color w:val="000000"/>
        </w:rPr>
        <w:t xml:space="preserve">Eiropas Savienības (ES) stratēģijas pamatmērķis ir </w:t>
      </w:r>
      <w:r w:rsidR="000F4E63" w:rsidRPr="005564AE">
        <w:rPr>
          <w:noProof/>
        </w:rPr>
        <w:t>sekmēt Eiropas noturību pret klimata pārmaiņām, ar to saprotot, ka visos pārvaldības līmeņos (</w:t>
      </w:r>
      <w:r w:rsidR="000F4E63">
        <w:rPr>
          <w:noProof/>
        </w:rPr>
        <w:t>vietējā</w:t>
      </w:r>
      <w:r w:rsidR="000F4E63" w:rsidRPr="005564AE">
        <w:rPr>
          <w:noProof/>
        </w:rPr>
        <w:t xml:space="preserve">, reģionālā, </w:t>
      </w:r>
      <w:r w:rsidR="000F4E63">
        <w:rPr>
          <w:noProof/>
        </w:rPr>
        <w:t>nacionālā</w:t>
      </w:r>
      <w:r w:rsidR="000F4E63" w:rsidRPr="005564AE">
        <w:rPr>
          <w:noProof/>
        </w:rPr>
        <w:t xml:space="preserve"> un ES) jāuzlabo gatavība un spēja reaģēt uz klimata pārmaiņu ietekmi, jāizstrādā saskaņota pieeja mērķa sasniegšanai un jāpanāk lielāka pasākumu koordinētība.</w:t>
      </w:r>
      <w:r w:rsidR="0090565A">
        <w:rPr>
          <w:noProof/>
        </w:rPr>
        <w:t xml:space="preserve"> </w:t>
      </w:r>
      <w:r w:rsidR="000F4E63" w:rsidRPr="005564AE">
        <w:rPr>
          <w:noProof/>
        </w:rPr>
        <w:t>Stratēģija nosaka 3 galvenās prioritātes</w:t>
      </w:r>
      <w:r w:rsidR="00A70BDE">
        <w:rPr>
          <w:noProof/>
        </w:rPr>
        <w:t xml:space="preserve"> (</w:t>
      </w:r>
      <w:r w:rsidR="001B0E82">
        <w:rPr>
          <w:noProof/>
        </w:rPr>
        <w:t>1. D</w:t>
      </w:r>
      <w:proofErr w:type="spellStart"/>
      <w:r w:rsidR="00A70BDE" w:rsidRPr="005564AE">
        <w:t>alībvalstu</w:t>
      </w:r>
      <w:proofErr w:type="spellEnd"/>
      <w:r w:rsidR="001B0E82">
        <w:t xml:space="preserve"> (DV)</w:t>
      </w:r>
      <w:r w:rsidR="00A70BDE" w:rsidRPr="005564AE">
        <w:t xml:space="preserve"> darbības veicināšana</w:t>
      </w:r>
      <w:r w:rsidR="001B0E82">
        <w:t>; 2. v</w:t>
      </w:r>
      <w:r w:rsidR="00A70BDE" w:rsidRPr="002A6682">
        <w:rPr>
          <w:noProof/>
        </w:rPr>
        <w:t>airāk informācijas lēmumu pieņemšanai</w:t>
      </w:r>
      <w:r w:rsidR="001B0E82">
        <w:rPr>
          <w:noProof/>
        </w:rPr>
        <w:t>; 3 k</w:t>
      </w:r>
      <w:r w:rsidR="00A70BDE" w:rsidRPr="002A6682">
        <w:rPr>
          <w:noProof/>
        </w:rPr>
        <w:t>ā panākt ES darbības klimatgatavību: pielāgošanās sekmēšana galvenajās mazaizsargātajās nozarēs</w:t>
      </w:r>
      <w:r w:rsidR="00A70BDE">
        <w:rPr>
          <w:noProof/>
        </w:rPr>
        <w:t xml:space="preserve">) </w:t>
      </w:r>
      <w:r w:rsidR="000F4E63" w:rsidRPr="005564AE">
        <w:rPr>
          <w:noProof/>
        </w:rPr>
        <w:t xml:space="preserve"> kuras tiks īstenotas ar 8 darbībām. </w:t>
      </w:r>
    </w:p>
    <w:p w:rsidR="000F4E63" w:rsidRPr="002A6682" w:rsidRDefault="00DA3958" w:rsidP="000F4E63">
      <w:pPr>
        <w:autoSpaceDE w:val="0"/>
        <w:jc w:val="both"/>
        <w:rPr>
          <w:noProof/>
        </w:rPr>
      </w:pPr>
      <w:r>
        <w:rPr>
          <w:b/>
          <w:noProof/>
        </w:rPr>
        <w:tab/>
      </w:r>
      <w:r w:rsidR="000F4E63" w:rsidRPr="00236D73">
        <w:rPr>
          <w:b/>
          <w:noProof/>
        </w:rPr>
        <w:t>Būtis</w:t>
      </w:r>
      <w:r w:rsidR="000F4E63" w:rsidRPr="002A6682">
        <w:rPr>
          <w:b/>
          <w:noProof/>
        </w:rPr>
        <w:t>kākais Eiropas Padomes secinājumos</w:t>
      </w:r>
      <w:r w:rsidR="000F4E63" w:rsidRPr="002A6682">
        <w:rPr>
          <w:noProof/>
        </w:rPr>
        <w:t xml:space="preserve">: </w:t>
      </w:r>
    </w:p>
    <w:p w:rsidR="000F4E63" w:rsidRPr="004813C9" w:rsidRDefault="000F4E63" w:rsidP="000F4E63">
      <w:pPr>
        <w:autoSpaceDE w:val="0"/>
        <w:jc w:val="both"/>
        <w:rPr>
          <w:noProof/>
        </w:rPr>
      </w:pPr>
      <w:r w:rsidRPr="00242E9A">
        <w:rPr>
          <w:b/>
          <w:noProof/>
        </w:rPr>
        <w:t>1.punktā</w:t>
      </w:r>
      <w:r w:rsidRPr="002A6682">
        <w:rPr>
          <w:noProof/>
        </w:rPr>
        <w:t xml:space="preserve"> Padome uzsver, ka pielāgošanās ir nepieciešam</w:t>
      </w:r>
      <w:r>
        <w:rPr>
          <w:noProof/>
        </w:rPr>
        <w:t>a</w:t>
      </w:r>
      <w:r w:rsidRPr="002A6682">
        <w:rPr>
          <w:noProof/>
        </w:rPr>
        <w:t xml:space="preserve"> un neizbēgam</w:t>
      </w:r>
      <w:r>
        <w:rPr>
          <w:noProof/>
        </w:rPr>
        <w:t>a</w:t>
      </w:r>
      <w:r w:rsidRPr="002A6682">
        <w:rPr>
          <w:noProof/>
        </w:rPr>
        <w:t xml:space="preserve"> k</w:t>
      </w:r>
      <w:r>
        <w:rPr>
          <w:noProof/>
        </w:rPr>
        <w:t>l</w:t>
      </w:r>
      <w:r w:rsidRPr="002A6682">
        <w:rPr>
          <w:noProof/>
        </w:rPr>
        <w:t>imata pārmaiņu mazināšan</w:t>
      </w:r>
      <w:r>
        <w:rPr>
          <w:noProof/>
        </w:rPr>
        <w:t>ai</w:t>
      </w:r>
      <w:r w:rsidR="005D4F45">
        <w:rPr>
          <w:noProof/>
        </w:rPr>
        <w:t xml:space="preserve"> un</w:t>
      </w:r>
      <w:r w:rsidRPr="002A6682">
        <w:rPr>
          <w:noProof/>
        </w:rPr>
        <w:t xml:space="preserve"> ka nerīkošanās vai kavēta adekvātas pielāgošanās rīcība var paaugstināt</w:t>
      </w:r>
      <w:r w:rsidRPr="005564AE">
        <w:rPr>
          <w:noProof/>
        </w:rPr>
        <w:t xml:space="preserve"> izmaksas nākotnē;</w:t>
      </w:r>
    </w:p>
    <w:p w:rsidR="000F4E63" w:rsidRDefault="000F4E63" w:rsidP="000F4E63">
      <w:pPr>
        <w:autoSpaceDE w:val="0"/>
        <w:jc w:val="both"/>
        <w:rPr>
          <w:noProof/>
        </w:rPr>
      </w:pPr>
      <w:r w:rsidRPr="00242E9A">
        <w:rPr>
          <w:b/>
          <w:noProof/>
        </w:rPr>
        <w:t>2.punktā</w:t>
      </w:r>
      <w:r w:rsidRPr="00242E9A">
        <w:rPr>
          <w:noProof/>
        </w:rPr>
        <w:t xml:space="preserve"> Pado</w:t>
      </w:r>
      <w:r w:rsidRPr="002A6682">
        <w:rPr>
          <w:noProof/>
        </w:rPr>
        <w:t xml:space="preserve">me atzīmē, ka lielākā daļa </w:t>
      </w:r>
      <w:r>
        <w:rPr>
          <w:noProof/>
        </w:rPr>
        <w:t xml:space="preserve">no </w:t>
      </w:r>
      <w:r w:rsidRPr="002A6682">
        <w:rPr>
          <w:noProof/>
        </w:rPr>
        <w:t>Baltās grāmatas</w:t>
      </w:r>
      <w:proofErr w:type="gramStart"/>
      <w:r w:rsidRPr="002A6682">
        <w:rPr>
          <w:noProof/>
        </w:rPr>
        <w:t xml:space="preserve"> </w:t>
      </w:r>
      <w:r w:rsidRPr="002A6682">
        <w:t xml:space="preserve"> </w:t>
      </w:r>
      <w:proofErr w:type="gramEnd"/>
      <w:r w:rsidRPr="005564AE">
        <w:rPr>
          <w:noProof/>
        </w:rPr>
        <w:t>pasākum</w:t>
      </w:r>
      <w:r w:rsidR="005D4F45">
        <w:rPr>
          <w:noProof/>
        </w:rPr>
        <w:t>iem</w:t>
      </w:r>
      <w:r w:rsidRPr="005564AE">
        <w:rPr>
          <w:noProof/>
        </w:rPr>
        <w:t xml:space="preserve"> ir </w:t>
      </w:r>
      <w:r>
        <w:rPr>
          <w:noProof/>
        </w:rPr>
        <w:t>ieviesti</w:t>
      </w:r>
      <w:r w:rsidRPr="005564AE">
        <w:rPr>
          <w:noProof/>
        </w:rPr>
        <w:t xml:space="preserve">; </w:t>
      </w:r>
    </w:p>
    <w:p w:rsidR="000F4E63" w:rsidRPr="003F5410" w:rsidRDefault="000F4E63" w:rsidP="000F4E63">
      <w:pPr>
        <w:autoSpaceDE w:val="0"/>
        <w:jc w:val="both"/>
        <w:rPr>
          <w:noProof/>
        </w:rPr>
      </w:pPr>
      <w:r w:rsidRPr="00242E9A">
        <w:rPr>
          <w:b/>
          <w:noProof/>
        </w:rPr>
        <w:t>3. punktā</w:t>
      </w:r>
      <w:r w:rsidRPr="00242E9A">
        <w:rPr>
          <w:noProof/>
        </w:rPr>
        <w:t xml:space="preserve"> Padome uzsver, ka ES pielāgošanās politikai jāveicina klimata noturīgas investīcijas un tiek sagaidīts, ka tā</w:t>
      </w:r>
      <w:r>
        <w:rPr>
          <w:noProof/>
        </w:rPr>
        <w:t>s</w:t>
      </w:r>
      <w:r w:rsidRPr="00242E9A">
        <w:rPr>
          <w:noProof/>
        </w:rPr>
        <w:t xml:space="preserve"> arī veicinās pāreju uz zaļo ekonomiku un radīs</w:t>
      </w:r>
      <w:r w:rsidRPr="003F5410">
        <w:rPr>
          <w:noProof/>
        </w:rPr>
        <w:t xml:space="preserve"> jaunas darba vietas;</w:t>
      </w:r>
    </w:p>
    <w:p w:rsidR="000F4E63" w:rsidRPr="00B61C53" w:rsidRDefault="000F4E63" w:rsidP="000F4E63">
      <w:pPr>
        <w:autoSpaceDE w:val="0"/>
        <w:jc w:val="both"/>
        <w:rPr>
          <w:noProof/>
        </w:rPr>
      </w:pPr>
      <w:r w:rsidRPr="00242E9A">
        <w:rPr>
          <w:b/>
          <w:noProof/>
        </w:rPr>
        <w:t>4. punktā</w:t>
      </w:r>
      <w:r w:rsidRPr="00242E9A">
        <w:rPr>
          <w:noProof/>
        </w:rPr>
        <w:t xml:space="preserve"> Padome </w:t>
      </w:r>
      <w:r w:rsidRPr="003F5410">
        <w:rPr>
          <w:noProof/>
        </w:rPr>
        <w:t xml:space="preserve">uzsver nepieciešamību tālāk pētīt apdrošināšanas un citu finanšu </w:t>
      </w:r>
      <w:r>
        <w:rPr>
          <w:noProof/>
        </w:rPr>
        <w:t>instrumentu</w:t>
      </w:r>
      <w:r w:rsidRPr="003F5410">
        <w:rPr>
          <w:noProof/>
        </w:rPr>
        <w:t xml:space="preserve"> izmantošanu</w:t>
      </w:r>
      <w:r w:rsidRPr="00236D73">
        <w:rPr>
          <w:noProof/>
        </w:rPr>
        <w:t xml:space="preserve">, lai mudinātu </w:t>
      </w:r>
      <w:r>
        <w:rPr>
          <w:noProof/>
        </w:rPr>
        <w:t xml:space="preserve">privātos </w:t>
      </w:r>
      <w:r w:rsidRPr="00236D73">
        <w:rPr>
          <w:noProof/>
        </w:rPr>
        <w:t xml:space="preserve">uzņēmumus pieņemt lēmumus par klimata </w:t>
      </w:r>
      <w:r w:rsidRPr="00B61C53">
        <w:rPr>
          <w:noProof/>
        </w:rPr>
        <w:t xml:space="preserve">noturīgām investīcijām; </w:t>
      </w:r>
    </w:p>
    <w:p w:rsidR="000F4E63" w:rsidRPr="00242E9A" w:rsidRDefault="000F4E63" w:rsidP="000F4E63">
      <w:pPr>
        <w:autoSpaceDE w:val="0"/>
        <w:jc w:val="both"/>
        <w:rPr>
          <w:noProof/>
        </w:rPr>
      </w:pPr>
      <w:r w:rsidRPr="00242E9A">
        <w:rPr>
          <w:b/>
          <w:noProof/>
        </w:rPr>
        <w:t>5.punktā</w:t>
      </w:r>
      <w:r w:rsidRPr="00242E9A">
        <w:rPr>
          <w:noProof/>
        </w:rPr>
        <w:t xml:space="preserve"> Padome atzīst, ka Stratēģijas pakotne var piedāvāt noderīgu pamatu patreizējam un turpmākam DV darbam pielāgošanās jautājumos, kā arī atgādina, ka pielāgošanās ir izaicinājums arī ārējām attiecībām;</w:t>
      </w:r>
    </w:p>
    <w:p w:rsidR="000F4E63" w:rsidRPr="004813C9" w:rsidRDefault="000F4E63" w:rsidP="000F4E63">
      <w:pPr>
        <w:autoSpaceDE w:val="0"/>
        <w:jc w:val="both"/>
        <w:rPr>
          <w:noProof/>
        </w:rPr>
      </w:pPr>
      <w:r w:rsidRPr="00242E9A">
        <w:rPr>
          <w:b/>
          <w:noProof/>
        </w:rPr>
        <w:t>6.punktā</w:t>
      </w:r>
      <w:r w:rsidRPr="00242E9A">
        <w:rPr>
          <w:noProof/>
        </w:rPr>
        <w:t xml:space="preserve"> Padome uzsver</w:t>
      </w:r>
      <w:r w:rsidRPr="002A6682">
        <w:rPr>
          <w:noProof/>
        </w:rPr>
        <w:t xml:space="preserve">, ka pielāgošanās pasākumi ir jānosaka nacionālā, reģionālā, vietējā līmenī, kā arī pārrobežu līmenī, un tiem jābalstās uz </w:t>
      </w:r>
      <w:r w:rsidR="004E30B5">
        <w:rPr>
          <w:noProof/>
        </w:rPr>
        <w:t>specifiskiem DV apstākļiem. A</w:t>
      </w:r>
      <w:r w:rsidRPr="005564AE">
        <w:rPr>
          <w:noProof/>
        </w:rPr>
        <w:t>t</w:t>
      </w:r>
      <w:r w:rsidRPr="004813C9">
        <w:rPr>
          <w:noProof/>
        </w:rPr>
        <w:t>zīst, ka nacionālās pielāgošanās stratēģijas ir galvenais instruments, lai informētu un prioretizētu rīcību un investīcijas;</w:t>
      </w:r>
    </w:p>
    <w:p w:rsidR="000F4E63" w:rsidRPr="005564AE" w:rsidRDefault="000F4E63" w:rsidP="000F4E63">
      <w:pPr>
        <w:autoSpaceDE w:val="0"/>
        <w:jc w:val="both"/>
        <w:rPr>
          <w:noProof/>
        </w:rPr>
      </w:pPr>
      <w:r w:rsidRPr="00242E9A">
        <w:rPr>
          <w:b/>
          <w:noProof/>
        </w:rPr>
        <w:t>7.punktā</w:t>
      </w:r>
      <w:r w:rsidRPr="00242E9A">
        <w:rPr>
          <w:noProof/>
        </w:rPr>
        <w:t xml:space="preserve"> Padome uzsver pielāgošanās integrēšanu visās politikās </w:t>
      </w:r>
      <w:r>
        <w:rPr>
          <w:noProof/>
        </w:rPr>
        <w:t xml:space="preserve">un </w:t>
      </w:r>
      <w:r w:rsidRPr="00242E9A">
        <w:rPr>
          <w:noProof/>
        </w:rPr>
        <w:t xml:space="preserve">visos </w:t>
      </w:r>
      <w:r>
        <w:rPr>
          <w:noProof/>
        </w:rPr>
        <w:t xml:space="preserve">pārvaldes </w:t>
      </w:r>
      <w:r w:rsidRPr="00242E9A">
        <w:rPr>
          <w:noProof/>
        </w:rPr>
        <w:t>līmeņos</w:t>
      </w:r>
      <w:r w:rsidRPr="002A6682">
        <w:rPr>
          <w:noProof/>
        </w:rPr>
        <w:t xml:space="preserve">. </w:t>
      </w:r>
    </w:p>
    <w:p w:rsidR="000F4E63" w:rsidRPr="002A6682" w:rsidRDefault="000F4E63" w:rsidP="000F4E63">
      <w:pPr>
        <w:autoSpaceDE w:val="0"/>
        <w:jc w:val="both"/>
        <w:rPr>
          <w:noProof/>
        </w:rPr>
      </w:pPr>
      <w:r w:rsidRPr="00242E9A">
        <w:rPr>
          <w:b/>
          <w:noProof/>
        </w:rPr>
        <w:lastRenderedPageBreak/>
        <w:t>8.punktā</w:t>
      </w:r>
      <w:r w:rsidRPr="004813C9">
        <w:rPr>
          <w:noProof/>
        </w:rPr>
        <w:t xml:space="preserve"> p</w:t>
      </w:r>
      <w:r w:rsidRPr="002A6682">
        <w:rPr>
          <w:noProof/>
        </w:rPr>
        <w:t>ieprasa DV turpināt attīstīt, ieviest un pārskatīt to pielāgošanās politiku / plānus, ņemot vērā Komisijas sagatavotās vadlīnijas</w:t>
      </w:r>
      <w:r w:rsidR="00355D2E">
        <w:rPr>
          <w:noProof/>
        </w:rPr>
        <w:t xml:space="preserve"> un</w:t>
      </w:r>
      <w:r w:rsidRPr="002A6682">
        <w:rPr>
          <w:noProof/>
        </w:rPr>
        <w:t xml:space="preserve"> pārrobežu aspektu saistību ar nacionālo katastrofu risku pārvaldību plāniem. </w:t>
      </w:r>
    </w:p>
    <w:p w:rsidR="000F4E63" w:rsidRPr="003F5410" w:rsidRDefault="000F4E63" w:rsidP="000F4E63">
      <w:pPr>
        <w:autoSpaceDE w:val="0"/>
        <w:jc w:val="both"/>
        <w:rPr>
          <w:noProof/>
        </w:rPr>
      </w:pPr>
      <w:r w:rsidRPr="00242E9A">
        <w:rPr>
          <w:b/>
          <w:noProof/>
        </w:rPr>
        <w:t>9.punktā</w:t>
      </w:r>
      <w:r w:rsidRPr="002A6682">
        <w:rPr>
          <w:noProof/>
        </w:rPr>
        <w:t xml:space="preserve"> </w:t>
      </w:r>
      <w:r w:rsidR="00A149A3">
        <w:rPr>
          <w:noProof/>
        </w:rPr>
        <w:t xml:space="preserve">Dalībvalstu </w:t>
      </w:r>
      <w:r w:rsidR="00355D2E">
        <w:rPr>
          <w:noProof/>
        </w:rPr>
        <w:t xml:space="preserve"> progres</w:t>
      </w:r>
      <w:r w:rsidR="00A149A3">
        <w:rPr>
          <w:noProof/>
        </w:rPr>
        <w:t>a ziņojumi tiks izvērtēti</w:t>
      </w:r>
      <w:r w:rsidR="00355D2E">
        <w:rPr>
          <w:noProof/>
        </w:rPr>
        <w:t xml:space="preserve"> 2017.gadā</w:t>
      </w:r>
      <w:r w:rsidRPr="003F5410">
        <w:rPr>
          <w:noProof/>
        </w:rPr>
        <w:t xml:space="preserve">. </w:t>
      </w:r>
    </w:p>
    <w:p w:rsidR="000F4E63" w:rsidRPr="002A6682" w:rsidRDefault="000F4E63" w:rsidP="000F4E63">
      <w:pPr>
        <w:autoSpaceDE w:val="0"/>
        <w:jc w:val="both"/>
        <w:rPr>
          <w:noProof/>
        </w:rPr>
      </w:pPr>
      <w:r w:rsidRPr="00242E9A">
        <w:rPr>
          <w:b/>
          <w:noProof/>
        </w:rPr>
        <w:t>10. punktā</w:t>
      </w:r>
      <w:r w:rsidRPr="00242E9A">
        <w:rPr>
          <w:noProof/>
        </w:rPr>
        <w:t xml:space="preserve"> atzīmē 2014.-2020.gada daudzgadu finanšu </w:t>
      </w:r>
      <w:r>
        <w:rPr>
          <w:noProof/>
        </w:rPr>
        <w:t>ietvara</w:t>
      </w:r>
      <w:r w:rsidRPr="00242E9A">
        <w:rPr>
          <w:noProof/>
        </w:rPr>
        <w:t xml:space="preserve"> projektā iekļauto</w:t>
      </w:r>
      <w:r w:rsidRPr="003F5410">
        <w:rPr>
          <w:noProof/>
        </w:rPr>
        <w:t xml:space="preserve"> priekšlikum</w:t>
      </w:r>
      <w:r w:rsidRPr="002A6682">
        <w:rPr>
          <w:noProof/>
        </w:rPr>
        <w:t>u palielināt ar klimata pārmaiņām saistītos izdevumus līdz vismaz 20 % no ES budžeta</w:t>
      </w:r>
      <w:r w:rsidR="00A149A3">
        <w:rPr>
          <w:noProof/>
        </w:rPr>
        <w:t>, t.sk.,</w:t>
      </w:r>
      <w:r w:rsidRPr="005564AE">
        <w:rPr>
          <w:noProof/>
        </w:rPr>
        <w:t xml:space="preserve"> </w:t>
      </w:r>
      <w:r w:rsidRPr="00242E9A">
        <w:rPr>
          <w:i/>
          <w:noProof/>
        </w:rPr>
        <w:t>Life</w:t>
      </w:r>
      <w:r w:rsidRPr="00242E9A">
        <w:rPr>
          <w:noProof/>
        </w:rPr>
        <w:t xml:space="preserve"> </w:t>
      </w:r>
      <w:r w:rsidR="00A149A3">
        <w:rPr>
          <w:noProof/>
        </w:rPr>
        <w:t>un</w:t>
      </w:r>
      <w:r w:rsidRPr="00242E9A">
        <w:rPr>
          <w:noProof/>
        </w:rPr>
        <w:t xml:space="preserve"> citiem finanšu instrumentiem</w:t>
      </w:r>
      <w:r w:rsidRPr="003F5410">
        <w:rPr>
          <w:noProof/>
        </w:rPr>
        <w:t xml:space="preserve">, lai atbalstītu kapacitātes celšanu un paātrinātu </w:t>
      </w:r>
      <w:r w:rsidRPr="002A6682">
        <w:rPr>
          <w:noProof/>
        </w:rPr>
        <w:t>pielāg</w:t>
      </w:r>
      <w:r w:rsidR="00A149A3">
        <w:rPr>
          <w:noProof/>
        </w:rPr>
        <w:t>ošanos īpaši ievainojamās zonās</w:t>
      </w:r>
      <w:r w:rsidRPr="002A6682">
        <w:t>;</w:t>
      </w:r>
    </w:p>
    <w:p w:rsidR="000F4E63" w:rsidRPr="004813C9" w:rsidRDefault="000F4E63" w:rsidP="000F4E63">
      <w:pPr>
        <w:autoSpaceDE w:val="0"/>
        <w:jc w:val="both"/>
        <w:rPr>
          <w:noProof/>
        </w:rPr>
      </w:pPr>
      <w:r w:rsidRPr="00242E9A">
        <w:rPr>
          <w:b/>
          <w:noProof/>
        </w:rPr>
        <w:t>11.punktā</w:t>
      </w:r>
      <w:r w:rsidRPr="002A6682">
        <w:rPr>
          <w:noProof/>
        </w:rPr>
        <w:t xml:space="preserve"> </w:t>
      </w:r>
      <w:r w:rsidR="00AF603C">
        <w:rPr>
          <w:noProof/>
        </w:rPr>
        <w:t xml:space="preserve">un </w:t>
      </w:r>
      <w:r w:rsidR="00AF603C" w:rsidRPr="00236D73">
        <w:rPr>
          <w:b/>
          <w:noProof/>
        </w:rPr>
        <w:t>12. punktā</w:t>
      </w:r>
      <w:r w:rsidR="00AF603C" w:rsidRPr="00242E9A">
        <w:rPr>
          <w:noProof/>
        </w:rPr>
        <w:t xml:space="preserve"> </w:t>
      </w:r>
      <w:r w:rsidRPr="002A6682">
        <w:rPr>
          <w:noProof/>
        </w:rPr>
        <w:t>uzsver nepieciešamību uzlabot dalīšanos ar zināšanām un datiem DV starpā, īpašu uzmanību pievēršot izglī</w:t>
      </w:r>
      <w:r>
        <w:rPr>
          <w:noProof/>
        </w:rPr>
        <w:t>t</w:t>
      </w:r>
      <w:r w:rsidRPr="002A6682">
        <w:rPr>
          <w:noProof/>
        </w:rPr>
        <w:t>ībai, apzin</w:t>
      </w:r>
      <w:r w:rsidRPr="005564AE">
        <w:rPr>
          <w:noProof/>
        </w:rPr>
        <w:t>āšanās un kapa</w:t>
      </w:r>
      <w:r w:rsidR="0072085F">
        <w:rPr>
          <w:noProof/>
        </w:rPr>
        <w:t>citātes palielināšanai</w:t>
      </w:r>
      <w:r w:rsidR="00AF603C">
        <w:rPr>
          <w:noProof/>
        </w:rPr>
        <w:t>; aicina</w:t>
      </w:r>
      <w:r w:rsidR="00AF603C" w:rsidRPr="003F5410">
        <w:rPr>
          <w:noProof/>
        </w:rPr>
        <w:t xml:space="preserve"> DV nozīmēt nacionālos kontaktpunktus līdz 2013.gada beigām</w:t>
      </w:r>
      <w:r w:rsidR="00AF603C">
        <w:rPr>
          <w:noProof/>
        </w:rPr>
        <w:t>.</w:t>
      </w:r>
    </w:p>
    <w:p w:rsidR="00DA3958" w:rsidRPr="00B434CF" w:rsidRDefault="00DA3958" w:rsidP="007B0265">
      <w:pPr>
        <w:jc w:val="both"/>
        <w:rPr>
          <w:b/>
          <w:color w:val="000000"/>
        </w:rPr>
      </w:pPr>
      <w:r>
        <w:rPr>
          <w:b/>
          <w:color w:val="000000"/>
        </w:rPr>
        <w:tab/>
      </w:r>
      <w:r w:rsidRPr="00B434CF">
        <w:rPr>
          <w:b/>
          <w:color w:val="000000"/>
        </w:rPr>
        <w:t xml:space="preserve">Latvija </w:t>
      </w:r>
      <w:r w:rsidRPr="00B434CF">
        <w:rPr>
          <w:b/>
          <w:color w:val="000000"/>
          <w:u w:val="single"/>
        </w:rPr>
        <w:t>kopumā atbalsta</w:t>
      </w:r>
      <w:r w:rsidRPr="00B434CF">
        <w:rPr>
          <w:b/>
          <w:color w:val="000000"/>
        </w:rPr>
        <w:t xml:space="preserve"> Eiropas Savienības Komisijas paziņojuma </w:t>
      </w:r>
      <w:r w:rsidRPr="00B434CF">
        <w:rPr>
          <w:b/>
        </w:rPr>
        <w:t>„Pielāgošanās klimata pārmaiņām: ES stratēģija”</w:t>
      </w:r>
      <w:r w:rsidRPr="00B434CF">
        <w:rPr>
          <w:b/>
          <w:color w:val="000000"/>
        </w:rPr>
        <w:t xml:space="preserve"> un Eiropas Savienības Padomes secinājumu tālāku virzību.</w:t>
      </w:r>
    </w:p>
    <w:p w:rsidR="00DA3958" w:rsidRPr="00B434CF" w:rsidRDefault="00DA3958" w:rsidP="007B0265">
      <w:pPr>
        <w:jc w:val="both"/>
        <w:rPr>
          <w:noProof/>
        </w:rPr>
      </w:pPr>
      <w:r>
        <w:tab/>
      </w:r>
      <w:r w:rsidRPr="00B434CF">
        <w:t>Konceptuāli atbalstām Stratēģijas mērķi, piekrītot nepieciešamībai</w:t>
      </w:r>
      <w:r w:rsidRPr="00B434CF">
        <w:rPr>
          <w:noProof/>
        </w:rPr>
        <w:t xml:space="preserve"> sekmēt Eiropas noturību pret klimata pārmaiņām, ar to saprotot, ka jāuzlabo gatavība un spēja reaģēt uz klimata pārmaiņu ietekmi pašvaldību, reģionālā, valsts un ES līmenī, jāizstrādā saskaņota pieeja mērķa sasniegšanai un jāpanāk lielāka pasākumu koordinētība.</w:t>
      </w:r>
    </w:p>
    <w:p w:rsidR="00DA3958" w:rsidRDefault="00DA3958" w:rsidP="007B0265">
      <w:pPr>
        <w:jc w:val="both"/>
      </w:pPr>
      <w:r>
        <w:tab/>
      </w:r>
      <w:r w:rsidRPr="00B434CF">
        <w:t>Ī</w:t>
      </w:r>
      <w:r w:rsidRPr="002A6682">
        <w:t xml:space="preserve">paši atbalstām katrai DV elastīgi piemērojamu stratēģijas ieviešanu </w:t>
      </w:r>
      <w:r>
        <w:t>balstoties uz</w:t>
      </w:r>
      <w:r w:rsidRPr="002A6682">
        <w:t xml:space="preserve"> nacionālajām prioritātēm un īpatnībām, un esam jau sagatavošanas stadijā Latvijas nacionālajai pielāgošanās stratēģijai.</w:t>
      </w:r>
      <w:r w:rsidRPr="005564AE">
        <w:t xml:space="preserve"> </w:t>
      </w:r>
      <w:r w:rsidRPr="004813C9">
        <w:t>Uzsveram nacionālo, reģio</w:t>
      </w:r>
      <w:r w:rsidR="003D7799">
        <w:t xml:space="preserve">nālo un vietējo īpatnību nozīmi un ietekmju prioritāšu izvirzīšanu </w:t>
      </w:r>
      <w:r w:rsidRPr="00242E9A">
        <w:t>pielāgošanās</w:t>
      </w:r>
      <w:r w:rsidRPr="002A6682">
        <w:t xml:space="preserve"> pasākumu plānošanā.</w:t>
      </w:r>
    </w:p>
    <w:p w:rsidR="003E63A0" w:rsidRDefault="003E63A0" w:rsidP="007B0265">
      <w:pPr>
        <w:jc w:val="both"/>
        <w:rPr>
          <w:b/>
          <w:sz w:val="28"/>
          <w:szCs w:val="28"/>
        </w:rPr>
      </w:pPr>
    </w:p>
    <w:p w:rsidR="00CC2252" w:rsidRPr="003E63A0" w:rsidRDefault="00241F0A" w:rsidP="003E63A0">
      <w:pPr>
        <w:jc w:val="both"/>
        <w:rPr>
          <w:b/>
          <w:sz w:val="28"/>
          <w:szCs w:val="28"/>
        </w:rPr>
      </w:pPr>
      <w:r>
        <w:rPr>
          <w:b/>
          <w:sz w:val="28"/>
          <w:szCs w:val="28"/>
        </w:rPr>
        <w:t>4</w:t>
      </w:r>
      <w:r w:rsidR="00594A22">
        <w:rPr>
          <w:b/>
          <w:sz w:val="28"/>
          <w:szCs w:val="28"/>
        </w:rPr>
        <w:t xml:space="preserve">. </w:t>
      </w:r>
      <w:r w:rsidR="003E63A0" w:rsidRPr="003E63A0">
        <w:rPr>
          <w:b/>
          <w:sz w:val="28"/>
          <w:szCs w:val="28"/>
        </w:rPr>
        <w:t>Citi jautājumi</w:t>
      </w:r>
    </w:p>
    <w:p w:rsidR="00805C4B" w:rsidRDefault="00805C4B" w:rsidP="00805C4B">
      <w:pPr>
        <w:jc w:val="both"/>
        <w:rPr>
          <w:b/>
          <w:i/>
          <w:sz w:val="28"/>
          <w:szCs w:val="28"/>
        </w:rPr>
      </w:pPr>
      <w:r w:rsidRPr="00DA4EBC">
        <w:rPr>
          <w:b/>
          <w:sz w:val="28"/>
          <w:szCs w:val="28"/>
        </w:rPr>
        <w:t xml:space="preserve">a) ES ETS/Aviācija </w:t>
      </w:r>
      <w:r w:rsidRPr="00DA4EBC">
        <w:rPr>
          <w:b/>
          <w:i/>
          <w:sz w:val="28"/>
          <w:szCs w:val="28"/>
        </w:rPr>
        <w:t>(Komisijas</w:t>
      </w:r>
      <w:r w:rsidR="008844E7">
        <w:rPr>
          <w:b/>
          <w:i/>
          <w:sz w:val="28"/>
          <w:szCs w:val="28"/>
        </w:rPr>
        <w:t xml:space="preserve"> sniegta informācija</w:t>
      </w:r>
      <w:r w:rsidRPr="00DA4EBC">
        <w:rPr>
          <w:b/>
          <w:i/>
          <w:sz w:val="28"/>
          <w:szCs w:val="28"/>
        </w:rPr>
        <w:t>)</w:t>
      </w:r>
    </w:p>
    <w:p w:rsidR="007D0917" w:rsidRPr="00DA4EBC" w:rsidRDefault="00523854" w:rsidP="00805C4B">
      <w:pPr>
        <w:jc w:val="both"/>
        <w:rPr>
          <w:b/>
          <w:i/>
          <w:sz w:val="28"/>
          <w:szCs w:val="28"/>
        </w:rPr>
      </w:pPr>
      <w:r w:rsidRPr="00341C6F">
        <w:rPr>
          <w:i/>
        </w:rPr>
        <w:t xml:space="preserve">Sagaidāms, ka </w:t>
      </w:r>
      <w:r w:rsidR="000E610D">
        <w:rPr>
          <w:i/>
        </w:rPr>
        <w:t>Komisija</w:t>
      </w:r>
      <w:r w:rsidRPr="00341C6F">
        <w:rPr>
          <w:i/>
        </w:rPr>
        <w:t xml:space="preserve"> informēs par jautājuma virzības gaitu</w:t>
      </w:r>
      <w:r w:rsidR="007D0917" w:rsidRPr="00292DAA">
        <w:rPr>
          <w:i/>
          <w:color w:val="000000"/>
        </w:rPr>
        <w:t>.</w:t>
      </w:r>
    </w:p>
    <w:p w:rsidR="00805C4B" w:rsidRPr="00292DAA" w:rsidRDefault="00615285" w:rsidP="00805C4B">
      <w:pPr>
        <w:jc w:val="both"/>
        <w:rPr>
          <w:color w:val="000000"/>
        </w:rPr>
      </w:pPr>
      <w:r w:rsidRPr="00292DAA">
        <w:rPr>
          <w:color w:val="000000"/>
        </w:rPr>
        <w:tab/>
      </w:r>
      <w:r w:rsidR="00805C4B" w:rsidRPr="00292DAA">
        <w:rPr>
          <w:color w:val="000000"/>
        </w:rPr>
        <w:t xml:space="preserve">Eiropas Komisija sniegs jaunāko informāciju par veikto darbu, lai sagatavotos ICAO (Starptautiskā civilās aviācijas organizācijas) asamblejai, kas notiks septembrī. Eiropas Komisijai tas ir pēdējais laiks, lai sagatavotu nostāju un izdomātu veidu, kā panākt to, ka starptautiskie gaisa kuģu operatori no citām valstīm piedalās un pilda savas saistības Eiropas Savienības emisijas kvotu tirdzniecības sistēmā. Eiropas Komisija kopā ar ICAO vēlas izstrādāt vai attīstīt "darbojošos" starptautisku uz tirgu balstītu mehānismu (MBM - </w:t>
      </w:r>
      <w:proofErr w:type="spellStart"/>
      <w:r w:rsidR="00805C4B" w:rsidRPr="00292DAA">
        <w:rPr>
          <w:color w:val="000000"/>
        </w:rPr>
        <w:t>market</w:t>
      </w:r>
      <w:proofErr w:type="spellEnd"/>
      <w:r w:rsidR="00805C4B" w:rsidRPr="00292DAA">
        <w:rPr>
          <w:color w:val="000000"/>
        </w:rPr>
        <w:t xml:space="preserve"> </w:t>
      </w:r>
      <w:proofErr w:type="spellStart"/>
      <w:r w:rsidR="00805C4B" w:rsidRPr="00292DAA">
        <w:rPr>
          <w:color w:val="000000"/>
        </w:rPr>
        <w:t>based</w:t>
      </w:r>
      <w:proofErr w:type="spellEnd"/>
      <w:r w:rsidR="00805C4B" w:rsidRPr="00292DAA">
        <w:rPr>
          <w:color w:val="000000"/>
        </w:rPr>
        <w:t xml:space="preserve"> </w:t>
      </w:r>
      <w:proofErr w:type="spellStart"/>
      <w:r w:rsidR="00805C4B" w:rsidRPr="00292DAA">
        <w:rPr>
          <w:color w:val="000000"/>
        </w:rPr>
        <w:t>mechanism</w:t>
      </w:r>
      <w:proofErr w:type="spellEnd"/>
      <w:r w:rsidR="00805C4B" w:rsidRPr="00292DAA">
        <w:rPr>
          <w:color w:val="000000"/>
        </w:rPr>
        <w:t>).</w:t>
      </w:r>
    </w:p>
    <w:p w:rsidR="00805C4B" w:rsidRPr="00292DAA" w:rsidRDefault="00615285" w:rsidP="00805C4B">
      <w:pPr>
        <w:jc w:val="both"/>
        <w:rPr>
          <w:color w:val="000000"/>
        </w:rPr>
      </w:pPr>
      <w:r w:rsidRPr="00292DAA">
        <w:rPr>
          <w:color w:val="000000"/>
        </w:rPr>
        <w:tab/>
      </w:r>
      <w:r w:rsidR="00805C4B" w:rsidRPr="00292DAA">
        <w:rPr>
          <w:color w:val="000000"/>
        </w:rPr>
        <w:t xml:space="preserve">Eiropas Padome ir sagatavojusi ziņojuma projektu "ICAO - sadarbība sagatavojoties ICAO Padomes 199.sesijai. Starptautiskā aviācija un klimata pārmaiņas". </w:t>
      </w:r>
    </w:p>
    <w:p w:rsidR="00E96241" w:rsidRPr="009E0F97" w:rsidRDefault="009E0F97" w:rsidP="00E96241">
      <w:pPr>
        <w:jc w:val="both"/>
        <w:rPr>
          <w:color w:val="000000"/>
        </w:rPr>
      </w:pPr>
      <w:r w:rsidRPr="009E0F97">
        <w:rPr>
          <w:color w:val="000000"/>
        </w:rPr>
        <w:tab/>
      </w:r>
      <w:r w:rsidR="00E96241" w:rsidRPr="009E0F97">
        <w:rPr>
          <w:color w:val="000000"/>
          <w:u w:val="single"/>
        </w:rPr>
        <w:t>Ģeogrāfiskais tvērums</w:t>
      </w:r>
      <w:r w:rsidR="00E96241" w:rsidRPr="009E0F97">
        <w:rPr>
          <w:color w:val="000000"/>
        </w:rPr>
        <w:t>:</w:t>
      </w:r>
    </w:p>
    <w:p w:rsidR="00E96241" w:rsidRPr="00292DAA" w:rsidRDefault="00E96241" w:rsidP="00E96241">
      <w:pPr>
        <w:jc w:val="both"/>
        <w:rPr>
          <w:color w:val="000000"/>
        </w:rPr>
      </w:pPr>
      <w:r w:rsidRPr="00292DAA">
        <w:rPr>
          <w:color w:val="000000"/>
        </w:rPr>
        <w:tab/>
        <w:t xml:space="preserve">Ir novērojama pretestība ieteiktajam ģeogrāfiskajam tvērumam un nav vienotas pieejas, vai MBM ir jāpiemēro reģionālā vai nacionālā līmenī. Eiropas Savienības valstis atbalsta </w:t>
      </w:r>
      <w:r>
        <w:rPr>
          <w:color w:val="000000"/>
        </w:rPr>
        <w:t>izejošo lidojumu</w:t>
      </w:r>
      <w:r w:rsidRPr="00292DAA">
        <w:rPr>
          <w:color w:val="000000"/>
        </w:rPr>
        <w:t xml:space="preserve"> principu, kur tiek ņemta vērā lidosta / valsts, no kuras tiek veikts lidojums. </w:t>
      </w:r>
      <w:r w:rsidR="00003EB3">
        <w:rPr>
          <w:color w:val="000000"/>
        </w:rPr>
        <w:t>N</w:t>
      </w:r>
      <w:r w:rsidRPr="00292DAA">
        <w:rPr>
          <w:color w:val="000000"/>
        </w:rPr>
        <w:t>acionālās gaisa telpas pieeju atbalsta vairums ne-ES valstu, kas atbalsta tā saukto "valsts vai valstu grupa" gaisa telpas tvērumu, tādā veidā tieši norādot uz 30 EEZ valstīm, kuras ir aptvertas ar Eiropas Savienības emisijas kvotu tirdzniecības sistēmu (ES ETS). Šī pieeja iekļautu tikai ienākušos un izejošos lidojumus, bet neiekļautu pārlidojumus, piemēram, kad tiek lidots virs Eiropas (piemēram, no Tuvajiem Austrumiem uz Ziemeļameriku). Visas pieejas, izņemot ES ETS tvērumu, samazinātu kopējo CO</w:t>
      </w:r>
      <w:r w:rsidRPr="00292DAA">
        <w:rPr>
          <w:color w:val="000000"/>
          <w:vertAlign w:val="subscript"/>
        </w:rPr>
        <w:t>2</w:t>
      </w:r>
      <w:r w:rsidRPr="00292DAA">
        <w:rPr>
          <w:color w:val="000000"/>
        </w:rPr>
        <w:t xml:space="preserve"> emisiju apjomu, ko piedāvātais MBM aptvertu. ES ETS pieeja ietver 100% CO2 emisijas, kuras tiek radītas gaisa kuģu operatoru veiktajos lidojumos.</w:t>
      </w:r>
    </w:p>
    <w:p w:rsidR="00E96241" w:rsidRPr="00292DAA" w:rsidRDefault="00E96241" w:rsidP="00E96241">
      <w:pPr>
        <w:jc w:val="both"/>
        <w:rPr>
          <w:color w:val="000000"/>
        </w:rPr>
      </w:pPr>
      <w:r w:rsidRPr="00292DAA">
        <w:rPr>
          <w:color w:val="000000"/>
        </w:rPr>
        <w:tab/>
      </w:r>
      <w:r w:rsidRPr="000D09C7">
        <w:rPr>
          <w:color w:val="000000"/>
          <w:u w:val="single"/>
        </w:rPr>
        <w:t>Globālais MBM</w:t>
      </w:r>
      <w:r w:rsidRPr="00292DAA">
        <w:rPr>
          <w:color w:val="000000"/>
        </w:rPr>
        <w:t>:</w:t>
      </w:r>
    </w:p>
    <w:p w:rsidR="00E96241" w:rsidRPr="00292DAA" w:rsidRDefault="00E96241" w:rsidP="00E96241">
      <w:pPr>
        <w:jc w:val="both"/>
        <w:rPr>
          <w:color w:val="000000"/>
        </w:rPr>
      </w:pPr>
      <w:r w:rsidRPr="00292DAA">
        <w:rPr>
          <w:color w:val="000000"/>
        </w:rPr>
        <w:t>Ziņojumā ir norādīts, ka šobrīd tiek pētīti 3 globālā mēroga MBM:</w:t>
      </w:r>
    </w:p>
    <w:p w:rsidR="00E96241" w:rsidRPr="00292DAA" w:rsidRDefault="00E96241" w:rsidP="00E96241">
      <w:pPr>
        <w:jc w:val="both"/>
        <w:rPr>
          <w:color w:val="000000"/>
        </w:rPr>
      </w:pPr>
      <w:r w:rsidRPr="00292DAA">
        <w:rPr>
          <w:color w:val="000000"/>
        </w:rPr>
        <w:t>1) kompensācija ar ienākumu uzkrājumu;</w:t>
      </w:r>
    </w:p>
    <w:p w:rsidR="00E96241" w:rsidRPr="00292DAA" w:rsidRDefault="00E96241" w:rsidP="00E96241">
      <w:pPr>
        <w:jc w:val="both"/>
        <w:rPr>
          <w:color w:val="000000"/>
        </w:rPr>
      </w:pPr>
      <w:r w:rsidRPr="00292DAA">
        <w:rPr>
          <w:color w:val="000000"/>
        </w:rPr>
        <w:lastRenderedPageBreak/>
        <w:t>2) kompensācija bez ienākumu uzkrāšanas;</w:t>
      </w:r>
    </w:p>
    <w:p w:rsidR="00E96241" w:rsidRPr="00292DAA" w:rsidRDefault="00E96241" w:rsidP="00E96241">
      <w:pPr>
        <w:jc w:val="both"/>
        <w:rPr>
          <w:color w:val="000000"/>
        </w:rPr>
      </w:pPr>
      <w:r w:rsidRPr="00292DAA">
        <w:rPr>
          <w:color w:val="000000"/>
        </w:rPr>
        <w:t>3) emisiju tirdzniecība.</w:t>
      </w:r>
    </w:p>
    <w:p w:rsidR="00E96241" w:rsidRPr="00292DAA" w:rsidRDefault="00E96241" w:rsidP="00E96241">
      <w:pPr>
        <w:jc w:val="both"/>
        <w:rPr>
          <w:color w:val="000000"/>
        </w:rPr>
      </w:pPr>
      <w:r w:rsidRPr="00292DAA">
        <w:rPr>
          <w:color w:val="000000"/>
        </w:rPr>
        <w:t>ES valstu pārstāvji ir aktīvi atbalstījuši ICAO Padomes secinājumu, ka katra no piedāvātajām pieejām ir tehniski izpildāma un ka ICAO Asamblejai ir jāvienojas par globāla mēroga MBM izstrādei un jānosaka konkrēts laika grafiks tā īstenošanai.</w:t>
      </w:r>
    </w:p>
    <w:p w:rsidR="00E96241" w:rsidRPr="00292DAA" w:rsidRDefault="00E96241" w:rsidP="00E96241">
      <w:pPr>
        <w:jc w:val="both"/>
        <w:rPr>
          <w:color w:val="000000"/>
        </w:rPr>
      </w:pPr>
      <w:r w:rsidRPr="00292DAA">
        <w:rPr>
          <w:rStyle w:val="Strong"/>
          <w:color w:val="000000"/>
        </w:rPr>
        <w:tab/>
        <w:t>Eiropas Savienības pozīcija (svarīgākie punkti):</w:t>
      </w:r>
    </w:p>
    <w:p w:rsidR="00E96241" w:rsidRPr="00292DAA" w:rsidRDefault="00E96241" w:rsidP="00E96241">
      <w:pPr>
        <w:jc w:val="both"/>
        <w:rPr>
          <w:color w:val="000000"/>
        </w:rPr>
      </w:pPr>
      <w:r w:rsidRPr="00292DAA">
        <w:rPr>
          <w:color w:val="000000"/>
        </w:rPr>
        <w:t>1) Eiropas Savienība turpinās sadarbību ar starptautiskajiem partneriem ICAO, lai nonāktu pie pozitīva rezultāta starptautiskās aviācijas un klimata pārmaiņu jautājumos ICAO 38.Asamblejā. Vienošanās ir jāpanāk par īstenojamu laika grafiku globālā MB izstrādei un īstenošanai; tvērumu, lai veicinātu visaptverošu nacionālo un reģionālo MBM, kas būtu piemērojams starptautiskajai aviācijai līdz globāla MBM ieviešanai.</w:t>
      </w:r>
    </w:p>
    <w:p w:rsidR="00E96241" w:rsidRPr="00292DAA" w:rsidRDefault="00E96241" w:rsidP="00E96241">
      <w:pPr>
        <w:jc w:val="both"/>
        <w:rPr>
          <w:color w:val="000000"/>
        </w:rPr>
      </w:pPr>
      <w:r w:rsidRPr="00292DAA">
        <w:rPr>
          <w:color w:val="000000"/>
        </w:rPr>
        <w:t>2) ES atbalsta vienošanos ICAO 38.Asamblejā, nosakot skaidru laika grafiku globālā MBM izstrādei un ieviešanai, kā arī nosakot skaidru "ceļa</w:t>
      </w:r>
      <w:r>
        <w:rPr>
          <w:color w:val="000000"/>
        </w:rPr>
        <w:t xml:space="preserve"> </w:t>
      </w:r>
      <w:r w:rsidRPr="00292DAA">
        <w:rPr>
          <w:color w:val="000000"/>
        </w:rPr>
        <w:t>karti" globālā MBM izstrādes pabeigšanai līdz ICAO 39.Asamblejai. ES atbalsta viena glob</w:t>
      </w:r>
      <w:r w:rsidR="008D29FA">
        <w:rPr>
          <w:color w:val="000000"/>
        </w:rPr>
        <w:t>ālā MBM</w:t>
      </w:r>
      <w:r w:rsidRPr="00292DAA">
        <w:rPr>
          <w:color w:val="000000"/>
        </w:rPr>
        <w:t>;</w:t>
      </w:r>
    </w:p>
    <w:p w:rsidR="00E96241" w:rsidRPr="00292DAA" w:rsidRDefault="00E96241" w:rsidP="00E96241">
      <w:pPr>
        <w:jc w:val="both"/>
        <w:rPr>
          <w:color w:val="000000"/>
        </w:rPr>
      </w:pPr>
      <w:r w:rsidRPr="00292DAA">
        <w:rPr>
          <w:color w:val="000000"/>
        </w:rPr>
        <w:t xml:space="preserve">3) ES stingri atbalsta </w:t>
      </w:r>
      <w:r>
        <w:rPr>
          <w:color w:val="000000"/>
        </w:rPr>
        <w:t>izejošo lidojumu pieeju</w:t>
      </w:r>
      <w:r w:rsidRPr="00292DAA">
        <w:rPr>
          <w:color w:val="000000"/>
        </w:rPr>
        <w:t xml:space="preserve"> ģeogrāfiskā tvēruma noteikšanai, tomēr ES ir atvērta un noteikti uzklausīs citus piedāvātos jēgpilnus risinājumus attiecībā uz ģeogrāfisko tvērumu. ES uzskata, ka piedāvātais risinājums, ka globālā mēroga MBM ir jāattiecina tikai uz nacionālā vai reģionālā mēroga gaisa telpu, nav pieņemams.</w:t>
      </w:r>
    </w:p>
    <w:p w:rsidR="00E96241" w:rsidRPr="00292DAA" w:rsidRDefault="00E96241" w:rsidP="00E96241">
      <w:pPr>
        <w:jc w:val="both"/>
        <w:rPr>
          <w:color w:val="000000"/>
        </w:rPr>
      </w:pPr>
      <w:r w:rsidRPr="00292DAA">
        <w:rPr>
          <w:rStyle w:val="Strong"/>
          <w:color w:val="000000"/>
        </w:rPr>
        <w:tab/>
      </w:r>
      <w:r w:rsidRPr="00292DAA">
        <w:rPr>
          <w:rStyle w:val="Strong"/>
          <w:color w:val="000000"/>
          <w:u w:val="single"/>
        </w:rPr>
        <w:t>Latvija pilnībā atbalsta Eiropas Komisijas darbu un atbalsta ziņojumā noteikto pozīciju</w:t>
      </w:r>
      <w:r w:rsidRPr="00292DAA">
        <w:rPr>
          <w:rStyle w:val="Strong"/>
          <w:color w:val="000000"/>
        </w:rPr>
        <w:t>.</w:t>
      </w:r>
    </w:p>
    <w:p w:rsidR="00791F0A" w:rsidRPr="00292DAA" w:rsidRDefault="00E96241" w:rsidP="00E96241">
      <w:pPr>
        <w:jc w:val="both"/>
        <w:rPr>
          <w:color w:val="000000"/>
        </w:rPr>
      </w:pPr>
      <w:r w:rsidRPr="00292DAA">
        <w:rPr>
          <w:color w:val="000000"/>
        </w:rPr>
        <w:tab/>
      </w:r>
    </w:p>
    <w:p w:rsidR="00DC33E7" w:rsidRPr="00DC33E7" w:rsidRDefault="00DC33E7" w:rsidP="00DC33E7">
      <w:pPr>
        <w:pStyle w:val="ListParagraph"/>
        <w:ind w:left="0"/>
        <w:jc w:val="both"/>
      </w:pPr>
      <w:r w:rsidRPr="00E555C4">
        <w:rPr>
          <w:b/>
          <w:sz w:val="28"/>
          <w:szCs w:val="28"/>
        </w:rPr>
        <w:t xml:space="preserve">b) Starptautiskās sanāksmes un pasākumi </w:t>
      </w:r>
      <w:r w:rsidRPr="008844E7">
        <w:rPr>
          <w:b/>
          <w:i/>
          <w:sz w:val="28"/>
          <w:szCs w:val="28"/>
        </w:rPr>
        <w:t>(</w:t>
      </w:r>
      <w:r w:rsidR="008844E7" w:rsidRPr="008844E7">
        <w:rPr>
          <w:b/>
          <w:i/>
          <w:sz w:val="28"/>
          <w:szCs w:val="28"/>
        </w:rPr>
        <w:t>prezidentvalsts un Komisijas sniegta informācija</w:t>
      </w:r>
      <w:r w:rsidRPr="008844E7">
        <w:rPr>
          <w:b/>
          <w:i/>
          <w:sz w:val="28"/>
          <w:szCs w:val="28"/>
        </w:rPr>
        <w:t>)</w:t>
      </w:r>
      <w:r w:rsidRPr="00DC33E7">
        <w:rPr>
          <w:i/>
        </w:rPr>
        <w:t xml:space="preserve"> </w:t>
      </w:r>
      <w:r w:rsidR="00523854" w:rsidRPr="00341C6F">
        <w:rPr>
          <w:i/>
        </w:rPr>
        <w:t>Sagaidāms, ka prezident</w:t>
      </w:r>
      <w:r w:rsidR="00523854">
        <w:rPr>
          <w:i/>
        </w:rPr>
        <w:t>valsts</w:t>
      </w:r>
      <w:r w:rsidR="00523854" w:rsidRPr="00341C6F">
        <w:rPr>
          <w:i/>
        </w:rPr>
        <w:t xml:space="preserve"> </w:t>
      </w:r>
      <w:r w:rsidR="000E610D">
        <w:rPr>
          <w:i/>
        </w:rPr>
        <w:t xml:space="preserve">un Komisija </w:t>
      </w:r>
      <w:r w:rsidR="00523854" w:rsidRPr="00341C6F">
        <w:rPr>
          <w:i/>
        </w:rPr>
        <w:t xml:space="preserve">informēs par </w:t>
      </w:r>
      <w:r w:rsidRPr="00DC33E7">
        <w:rPr>
          <w:i/>
        </w:rPr>
        <w:t>tuvākiem starptautiskiem pasākumiem un sanāksmēm.</w:t>
      </w:r>
    </w:p>
    <w:p w:rsidR="00DC33E7" w:rsidRDefault="00DC33E7" w:rsidP="00805C4B">
      <w:pPr>
        <w:jc w:val="both"/>
        <w:rPr>
          <w:color w:val="000000"/>
        </w:rPr>
      </w:pPr>
    </w:p>
    <w:p w:rsidR="00FC573E" w:rsidRPr="009A67CB" w:rsidRDefault="00BC41E5" w:rsidP="00BC41E5">
      <w:pPr>
        <w:jc w:val="both"/>
        <w:rPr>
          <w:b/>
          <w:sz w:val="28"/>
          <w:szCs w:val="28"/>
        </w:rPr>
      </w:pPr>
      <w:r w:rsidRPr="009A67CB">
        <w:rPr>
          <w:b/>
          <w:sz w:val="28"/>
          <w:szCs w:val="28"/>
        </w:rPr>
        <w:t xml:space="preserve">c) </w:t>
      </w:r>
      <w:r w:rsidR="009A67CB" w:rsidRPr="009A67CB">
        <w:rPr>
          <w:b/>
          <w:sz w:val="28"/>
          <w:szCs w:val="28"/>
        </w:rPr>
        <w:t>aktuālie leģislatīvie dokumenti</w:t>
      </w:r>
      <w:r w:rsidR="00DC33E7" w:rsidRPr="009A67CB">
        <w:rPr>
          <w:b/>
          <w:sz w:val="28"/>
          <w:szCs w:val="28"/>
        </w:rPr>
        <w:t>:</w:t>
      </w:r>
    </w:p>
    <w:p w:rsidR="00FC573E" w:rsidRPr="001067F5" w:rsidRDefault="00FC573E" w:rsidP="00FC573E">
      <w:pPr>
        <w:pStyle w:val="ListParagraph"/>
        <w:ind w:left="0"/>
        <w:jc w:val="both"/>
        <w:rPr>
          <w:b/>
          <w:sz w:val="28"/>
          <w:szCs w:val="28"/>
        </w:rPr>
      </w:pPr>
      <w:r w:rsidRPr="007B42D6">
        <w:rPr>
          <w:b/>
          <w:sz w:val="28"/>
          <w:szCs w:val="28"/>
        </w:rPr>
        <w:t xml:space="preserve">(i) </w:t>
      </w:r>
      <w:r w:rsidR="009A67CB" w:rsidRPr="007B42D6">
        <w:rPr>
          <w:b/>
          <w:sz w:val="28"/>
          <w:szCs w:val="28"/>
        </w:rPr>
        <w:t>Priekšlikums – Eiropas Parlamenta un Padomes Direktīva, ar ko groza Direktīvu 2011/92/ES par dažu sabiedrisku un privātu projektu ietekmes uz vidi novērtējumu</w:t>
      </w:r>
      <w:r w:rsidRPr="007B42D6">
        <w:rPr>
          <w:b/>
          <w:sz w:val="28"/>
          <w:szCs w:val="28"/>
        </w:rPr>
        <w:t xml:space="preserve"> (pirmais lasījums). Starp</w:t>
      </w:r>
      <w:r w:rsidR="009A67CB" w:rsidRPr="007B42D6">
        <w:rPr>
          <w:b/>
          <w:sz w:val="28"/>
          <w:szCs w:val="28"/>
        </w:rPr>
        <w:t>iestāžu lieta</w:t>
      </w:r>
      <w:r w:rsidRPr="007B42D6">
        <w:rPr>
          <w:b/>
          <w:sz w:val="28"/>
          <w:szCs w:val="28"/>
        </w:rPr>
        <w:t xml:space="preserve"> 2012/0297 (COD) (</w:t>
      </w:r>
      <w:r w:rsidR="007D0917" w:rsidRPr="009A67CB">
        <w:rPr>
          <w:b/>
          <w:i/>
        </w:rPr>
        <w:t>prezidentvalsts sniegta informācija</w:t>
      </w:r>
      <w:r w:rsidRPr="001067F5">
        <w:rPr>
          <w:b/>
          <w:i/>
          <w:sz w:val="28"/>
          <w:szCs w:val="28"/>
        </w:rPr>
        <w:t>)</w:t>
      </w:r>
    </w:p>
    <w:p w:rsidR="008274E1" w:rsidRDefault="00034E61" w:rsidP="008274E1">
      <w:pPr>
        <w:widowControl w:val="0"/>
        <w:tabs>
          <w:tab w:val="left" w:pos="567"/>
        </w:tabs>
        <w:spacing w:after="120"/>
        <w:ind w:firstLine="567"/>
        <w:jc w:val="both"/>
        <w:rPr>
          <w:i/>
        </w:rPr>
      </w:pPr>
      <w:r w:rsidRPr="00341C6F">
        <w:rPr>
          <w:i/>
        </w:rPr>
        <w:t>Sagaidāms, ka prezident</w:t>
      </w:r>
      <w:r>
        <w:rPr>
          <w:i/>
        </w:rPr>
        <w:t>valsts</w:t>
      </w:r>
      <w:r w:rsidRPr="00341C6F">
        <w:rPr>
          <w:i/>
        </w:rPr>
        <w:t xml:space="preserve"> informēs par jautājuma virzības gaitu</w:t>
      </w:r>
      <w:r>
        <w:rPr>
          <w:i/>
        </w:rPr>
        <w:t>.</w:t>
      </w:r>
      <w:r w:rsidRPr="001A6EF7">
        <w:rPr>
          <w:i/>
        </w:rPr>
        <w:t xml:space="preserve"> </w:t>
      </w:r>
      <w:r w:rsidR="001A6EF7" w:rsidRPr="001A6EF7">
        <w:rPr>
          <w:i/>
        </w:rPr>
        <w:t xml:space="preserve">Ir </w:t>
      </w:r>
      <w:r w:rsidR="00C024C2" w:rsidRPr="001A6EF7">
        <w:rPr>
          <w:i/>
        </w:rPr>
        <w:t xml:space="preserve">notikušas vairākas darba grupas, prezentēta jauna </w:t>
      </w:r>
      <w:r w:rsidR="001A6EF7" w:rsidRPr="001A6EF7">
        <w:rPr>
          <w:i/>
        </w:rPr>
        <w:t>prezidentvalsts</w:t>
      </w:r>
      <w:r w:rsidR="00C024C2" w:rsidRPr="001A6EF7">
        <w:rPr>
          <w:i/>
        </w:rPr>
        <w:t xml:space="preserve"> piedāvātā dokumenta redakcija</w:t>
      </w:r>
      <w:r w:rsidR="001A6EF7" w:rsidRPr="001A6EF7">
        <w:rPr>
          <w:i/>
        </w:rPr>
        <w:t>.</w:t>
      </w:r>
    </w:p>
    <w:p w:rsidR="0051657E" w:rsidRPr="001A6EF7" w:rsidRDefault="00241F0A" w:rsidP="008274E1">
      <w:pPr>
        <w:widowControl w:val="0"/>
        <w:tabs>
          <w:tab w:val="left" w:pos="567"/>
        </w:tabs>
        <w:spacing w:after="120"/>
        <w:ind w:firstLine="567"/>
        <w:jc w:val="both"/>
        <w:rPr>
          <w:i/>
        </w:rPr>
      </w:pPr>
      <w:r>
        <w:t>D</w:t>
      </w:r>
      <w:r w:rsidR="0051657E">
        <w:t>irektīvā noteikt</w:t>
      </w:r>
      <w:r>
        <w:t>s</w:t>
      </w:r>
      <w:r w:rsidR="0051657E">
        <w:t xml:space="preserve"> </w:t>
      </w:r>
      <w:r w:rsidR="0051657E" w:rsidRPr="0005669D">
        <w:t>integrētas vai koordinētas pieejas princip</w:t>
      </w:r>
      <w:r>
        <w:t>s</w:t>
      </w:r>
      <w:r w:rsidR="0051657E" w:rsidRPr="0005669D">
        <w:t xml:space="preserve"> attiecībā uz vides atļaujām un novērtējumiem un</w:t>
      </w:r>
      <w:r w:rsidR="0051657E" w:rsidRPr="0005669D">
        <w:rPr>
          <w:iCs/>
        </w:rPr>
        <w:t xml:space="preserve"> „ietekmes uz vidi novērtējuma tvēruma” noteikšanu kā obligātu prasību visos gadījumos, kad tiek piemērots ietekmes uz vidi novērtējums</w:t>
      </w:r>
      <w:r w:rsidR="0051657E">
        <w:rPr>
          <w:iCs/>
        </w:rPr>
        <w:t>.</w:t>
      </w:r>
    </w:p>
    <w:p w:rsidR="00BC41E5" w:rsidRPr="001067F5" w:rsidRDefault="00BC41E5" w:rsidP="00BC41E5">
      <w:pPr>
        <w:jc w:val="both"/>
        <w:rPr>
          <w:b/>
          <w:i/>
          <w:sz w:val="28"/>
          <w:szCs w:val="28"/>
        </w:rPr>
      </w:pPr>
      <w:r w:rsidRPr="009A67CB">
        <w:rPr>
          <w:b/>
          <w:sz w:val="28"/>
          <w:szCs w:val="28"/>
        </w:rPr>
        <w:t>(</w:t>
      </w:r>
      <w:proofErr w:type="spellStart"/>
      <w:r w:rsidRPr="009A67CB">
        <w:rPr>
          <w:b/>
          <w:sz w:val="28"/>
          <w:szCs w:val="28"/>
        </w:rPr>
        <w:t>ii</w:t>
      </w:r>
      <w:proofErr w:type="spellEnd"/>
      <w:r w:rsidRPr="009A67CB">
        <w:rPr>
          <w:b/>
          <w:sz w:val="28"/>
          <w:szCs w:val="28"/>
        </w:rPr>
        <w:t xml:space="preserve">) </w:t>
      </w:r>
      <w:r w:rsidR="009A67CB" w:rsidRPr="009A67CB">
        <w:rPr>
          <w:b/>
          <w:sz w:val="28"/>
          <w:szCs w:val="28"/>
        </w:rPr>
        <w:t xml:space="preserve">Priekšlikums – Eiropas Parlamenta un Padomes Regula par ģenētisko resursu pieejamību un to izmantošanā iegūto labumu taisnīgu </w:t>
      </w:r>
      <w:r w:rsidR="007B42D6">
        <w:rPr>
          <w:b/>
          <w:sz w:val="28"/>
          <w:szCs w:val="28"/>
        </w:rPr>
        <w:t xml:space="preserve">un vienlīdzīgu sadali Savienībā </w:t>
      </w:r>
      <w:r w:rsidRPr="009A67CB">
        <w:rPr>
          <w:b/>
          <w:sz w:val="28"/>
          <w:szCs w:val="28"/>
        </w:rPr>
        <w:t xml:space="preserve">(pirmais lasījums). </w:t>
      </w:r>
      <w:r w:rsidR="009A67CB" w:rsidRPr="009A67CB">
        <w:rPr>
          <w:b/>
          <w:sz w:val="28"/>
          <w:szCs w:val="28"/>
        </w:rPr>
        <w:t>Starpiestāžu lieta</w:t>
      </w:r>
      <w:proofErr w:type="gramStart"/>
      <w:r w:rsidR="009A67CB" w:rsidRPr="009A67CB">
        <w:rPr>
          <w:b/>
          <w:sz w:val="28"/>
          <w:szCs w:val="28"/>
        </w:rPr>
        <w:t xml:space="preserve">  </w:t>
      </w:r>
      <w:proofErr w:type="gramEnd"/>
      <w:r w:rsidRPr="009A67CB">
        <w:rPr>
          <w:b/>
          <w:sz w:val="28"/>
          <w:szCs w:val="28"/>
        </w:rPr>
        <w:t xml:space="preserve">2012/0278 (COD) </w:t>
      </w:r>
      <w:r w:rsidRPr="009A67CB">
        <w:rPr>
          <w:b/>
          <w:i/>
          <w:sz w:val="28"/>
          <w:szCs w:val="28"/>
        </w:rPr>
        <w:t>(</w:t>
      </w:r>
      <w:r w:rsidR="009A67CB" w:rsidRPr="009A67CB">
        <w:rPr>
          <w:b/>
          <w:i/>
        </w:rPr>
        <w:t>prezidentvalsts sniegta informācija</w:t>
      </w:r>
      <w:r w:rsidRPr="009A67CB">
        <w:rPr>
          <w:b/>
          <w:i/>
          <w:sz w:val="28"/>
          <w:szCs w:val="28"/>
        </w:rPr>
        <w:t>)</w:t>
      </w:r>
    </w:p>
    <w:p w:rsidR="007D59E4" w:rsidRDefault="007D0917" w:rsidP="007D59E4">
      <w:pPr>
        <w:ind w:firstLine="720"/>
        <w:jc w:val="both"/>
        <w:rPr>
          <w:i/>
        </w:rPr>
      </w:pPr>
      <w:r w:rsidRPr="00341C6F">
        <w:rPr>
          <w:i/>
        </w:rPr>
        <w:t>Sagaidāms, ka prezident</w:t>
      </w:r>
      <w:r>
        <w:rPr>
          <w:i/>
        </w:rPr>
        <w:t>valsts</w:t>
      </w:r>
      <w:r w:rsidRPr="00341C6F">
        <w:rPr>
          <w:i/>
        </w:rPr>
        <w:t xml:space="preserve"> informēs par jautājuma virzības gaitu.</w:t>
      </w:r>
      <w:r w:rsidR="001A6EF7" w:rsidRPr="001A6EF7">
        <w:rPr>
          <w:i/>
        </w:rPr>
        <w:t xml:space="preserve"> Ir notikušas vairākas darba grupas, prezentēta jauna prezidentvalsts piedāvātā dokumenta redakcija.</w:t>
      </w:r>
    </w:p>
    <w:p w:rsidR="0051657E" w:rsidRPr="00BC41E5" w:rsidRDefault="003424A2" w:rsidP="007D59E4">
      <w:pPr>
        <w:ind w:firstLine="720"/>
        <w:jc w:val="both"/>
        <w:rPr>
          <w:b/>
          <w:color w:val="000000"/>
        </w:rPr>
      </w:pPr>
      <w:r>
        <w:rPr>
          <w:color w:val="000000"/>
        </w:rPr>
        <w:t>Ar</w:t>
      </w:r>
      <w:r w:rsidR="0051657E" w:rsidRPr="00DA4EBC">
        <w:t xml:space="preserve"> </w:t>
      </w:r>
      <w:r>
        <w:rPr>
          <w:color w:val="000000"/>
        </w:rPr>
        <w:t xml:space="preserve">regulas priekšlikumu </w:t>
      </w:r>
      <w:r w:rsidR="0051657E">
        <w:rPr>
          <w:color w:val="000000"/>
        </w:rPr>
        <w:t>plānots samazināt</w:t>
      </w:r>
      <w:r w:rsidR="0051657E" w:rsidRPr="00DA4EBC">
        <w:rPr>
          <w:color w:val="000000"/>
        </w:rPr>
        <w:t xml:space="preserve"> risk</w:t>
      </w:r>
      <w:r w:rsidR="0051657E">
        <w:rPr>
          <w:color w:val="000000"/>
        </w:rPr>
        <w:t>u</w:t>
      </w:r>
      <w:r w:rsidR="0051657E" w:rsidRPr="00DA4EBC">
        <w:rPr>
          <w:color w:val="000000"/>
        </w:rPr>
        <w:t>, ka ES tiek izmantoti nelikumīgi iegūti ģenētiskie resursi vai ar ģenētiskajiem resursiem saistītās tradicionālās zināšanas, un atbalstīt taisnīg</w:t>
      </w:r>
      <w:r w:rsidR="0051657E">
        <w:rPr>
          <w:color w:val="000000"/>
        </w:rPr>
        <w:t>u</w:t>
      </w:r>
      <w:r w:rsidR="0051657E" w:rsidRPr="00DA4EBC">
        <w:rPr>
          <w:color w:val="000000"/>
        </w:rPr>
        <w:t xml:space="preserve"> un vienlīdzīg</w:t>
      </w:r>
      <w:r w:rsidR="0051657E">
        <w:rPr>
          <w:color w:val="000000"/>
        </w:rPr>
        <w:t>u</w:t>
      </w:r>
      <w:r w:rsidR="0051657E" w:rsidRPr="00DA4EBC">
        <w:rPr>
          <w:color w:val="000000"/>
        </w:rPr>
        <w:t xml:space="preserve"> to labumu sadal</w:t>
      </w:r>
      <w:r w:rsidR="0051657E">
        <w:rPr>
          <w:color w:val="000000"/>
        </w:rPr>
        <w:t>i</w:t>
      </w:r>
      <w:r w:rsidR="0051657E" w:rsidRPr="00DA4EBC">
        <w:rPr>
          <w:color w:val="000000"/>
        </w:rPr>
        <w:t>, kas iegūti no ģenētisko resursu vai ar tiem saistīto tradicionālo zināšanu izmantošanas atbilstīgi savstarpēji saskaņotiem noteikumiem.</w:t>
      </w:r>
    </w:p>
    <w:p w:rsidR="00580354" w:rsidRPr="00733E69" w:rsidRDefault="000328EA" w:rsidP="007D59E4">
      <w:pPr>
        <w:jc w:val="both"/>
        <w:rPr>
          <w:color w:val="000000"/>
        </w:rPr>
      </w:pPr>
      <w:r>
        <w:rPr>
          <w:color w:val="000000"/>
        </w:rPr>
        <w:tab/>
      </w:r>
    </w:p>
    <w:p w:rsidR="00FC573E" w:rsidRDefault="00FC573E" w:rsidP="007D59E4">
      <w:pPr>
        <w:jc w:val="both"/>
        <w:rPr>
          <w:b/>
          <w:i/>
          <w:sz w:val="28"/>
          <w:szCs w:val="28"/>
        </w:rPr>
      </w:pPr>
      <w:r w:rsidRPr="001067F5">
        <w:rPr>
          <w:b/>
          <w:color w:val="000000"/>
          <w:sz w:val="28"/>
          <w:szCs w:val="28"/>
        </w:rPr>
        <w:lastRenderedPageBreak/>
        <w:t>(</w:t>
      </w:r>
      <w:proofErr w:type="spellStart"/>
      <w:r w:rsidRPr="001067F5">
        <w:rPr>
          <w:b/>
          <w:color w:val="000000"/>
          <w:sz w:val="28"/>
          <w:szCs w:val="28"/>
        </w:rPr>
        <w:t>iii</w:t>
      </w:r>
      <w:proofErr w:type="spellEnd"/>
      <w:r w:rsidRPr="001067F5">
        <w:rPr>
          <w:b/>
          <w:color w:val="000000"/>
          <w:sz w:val="28"/>
          <w:szCs w:val="28"/>
        </w:rPr>
        <w:t xml:space="preserve">) </w:t>
      </w:r>
      <w:r w:rsidR="009A67CB" w:rsidRPr="009A67CB">
        <w:rPr>
          <w:b/>
          <w:sz w:val="28"/>
          <w:szCs w:val="28"/>
        </w:rPr>
        <w:t xml:space="preserve">Priekšlikums – Eiropas Parlamenta un Padomes Regula par </w:t>
      </w:r>
      <w:proofErr w:type="spellStart"/>
      <w:r w:rsidR="009A67CB" w:rsidRPr="009A67CB">
        <w:rPr>
          <w:b/>
          <w:sz w:val="28"/>
          <w:szCs w:val="28"/>
        </w:rPr>
        <w:t>fluorētām</w:t>
      </w:r>
      <w:proofErr w:type="spellEnd"/>
      <w:r w:rsidR="009A67CB" w:rsidRPr="009A67CB">
        <w:rPr>
          <w:b/>
          <w:sz w:val="28"/>
          <w:szCs w:val="28"/>
        </w:rPr>
        <w:t xml:space="preserve"> siltumnīcefekta gāzēm </w:t>
      </w:r>
      <w:r w:rsidR="00580354" w:rsidRPr="009A67CB">
        <w:rPr>
          <w:b/>
          <w:sz w:val="28"/>
          <w:szCs w:val="28"/>
        </w:rPr>
        <w:t>(pirmais</w:t>
      </w:r>
      <w:r w:rsidR="00580354" w:rsidRPr="001067F5">
        <w:rPr>
          <w:b/>
          <w:sz w:val="28"/>
          <w:szCs w:val="28"/>
        </w:rPr>
        <w:t xml:space="preserve"> lasījums). </w:t>
      </w:r>
      <w:r w:rsidR="009A67CB" w:rsidRPr="001067F5">
        <w:rPr>
          <w:b/>
          <w:sz w:val="28"/>
          <w:szCs w:val="28"/>
        </w:rPr>
        <w:t>Starp</w:t>
      </w:r>
      <w:r w:rsidR="009A67CB">
        <w:rPr>
          <w:b/>
          <w:sz w:val="28"/>
          <w:szCs w:val="28"/>
        </w:rPr>
        <w:t>iestāžu lieta</w:t>
      </w:r>
      <w:r w:rsidR="009A67CB" w:rsidRPr="001067F5">
        <w:rPr>
          <w:b/>
          <w:sz w:val="28"/>
          <w:szCs w:val="28"/>
        </w:rPr>
        <w:t xml:space="preserve"> </w:t>
      </w:r>
      <w:r w:rsidR="00580354" w:rsidRPr="001067F5">
        <w:rPr>
          <w:b/>
          <w:sz w:val="28"/>
          <w:szCs w:val="28"/>
        </w:rPr>
        <w:t xml:space="preserve">2012/0305 (COD) </w:t>
      </w:r>
      <w:r w:rsidR="009A67CB" w:rsidRPr="009A67CB">
        <w:rPr>
          <w:b/>
          <w:i/>
          <w:sz w:val="28"/>
          <w:szCs w:val="28"/>
        </w:rPr>
        <w:t>(</w:t>
      </w:r>
      <w:r w:rsidR="009A67CB" w:rsidRPr="009A67CB">
        <w:rPr>
          <w:b/>
          <w:i/>
        </w:rPr>
        <w:t>prezidentvalsts sniegta informācija</w:t>
      </w:r>
      <w:r w:rsidR="009A67CB" w:rsidRPr="009A67CB">
        <w:rPr>
          <w:b/>
          <w:i/>
          <w:sz w:val="28"/>
          <w:szCs w:val="28"/>
        </w:rPr>
        <w:t>)</w:t>
      </w:r>
    </w:p>
    <w:p w:rsidR="007D0917" w:rsidRPr="001067F5" w:rsidRDefault="007D0917" w:rsidP="007D59E4">
      <w:pPr>
        <w:jc w:val="both"/>
        <w:rPr>
          <w:b/>
          <w:i/>
          <w:sz w:val="28"/>
          <w:szCs w:val="28"/>
        </w:rPr>
      </w:pPr>
      <w:r>
        <w:rPr>
          <w:i/>
        </w:rPr>
        <w:tab/>
      </w:r>
      <w:r w:rsidRPr="00341C6F">
        <w:rPr>
          <w:i/>
        </w:rPr>
        <w:t>Sagaidāms, ka prezident</w:t>
      </w:r>
      <w:r>
        <w:rPr>
          <w:i/>
        </w:rPr>
        <w:t>valsts</w:t>
      </w:r>
      <w:r w:rsidRPr="00341C6F">
        <w:rPr>
          <w:i/>
        </w:rPr>
        <w:t xml:space="preserve"> informēs par jautājuma virzības gaitu.</w:t>
      </w:r>
    </w:p>
    <w:p w:rsidR="004E33C4" w:rsidRPr="00733E69" w:rsidRDefault="004E33C4" w:rsidP="004E33C4">
      <w:pPr>
        <w:jc w:val="both"/>
      </w:pPr>
      <w:r w:rsidRPr="00733E69">
        <w:tab/>
        <w:t xml:space="preserve">Komisija priekšlikumu regulai par </w:t>
      </w:r>
      <w:proofErr w:type="spellStart"/>
      <w:r w:rsidRPr="00733E69">
        <w:t>fluorētām</w:t>
      </w:r>
      <w:proofErr w:type="spellEnd"/>
      <w:r w:rsidRPr="00733E69">
        <w:t xml:space="preserve"> SEG gāzēm (regulas priekšlikums) publiskoja 2012.gada 7.novembrī. </w:t>
      </w:r>
    </w:p>
    <w:p w:rsidR="004E33C4" w:rsidRPr="00733E69" w:rsidRDefault="004E33C4" w:rsidP="004E33C4">
      <w:pPr>
        <w:jc w:val="both"/>
      </w:pPr>
      <w:r w:rsidRPr="00733E69">
        <w:tab/>
        <w:t>Regulas priekšlikuma galvenais mērķis ir, pamatojoties uz atziņām , kas iegūtas iepriekšējā regulējuma</w:t>
      </w:r>
      <w:r w:rsidRPr="00733E69">
        <w:rPr>
          <w:rStyle w:val="FootnoteReference"/>
        </w:rPr>
        <w:footnoteReference w:id="3"/>
      </w:r>
      <w:r w:rsidRPr="00733E69">
        <w:t xml:space="preserve"> darbības laikā gūtajām atziņām veidot jaunu regulējumu, kas savā būtībā būtu </w:t>
      </w:r>
    </w:p>
    <w:p w:rsidR="004E33C4" w:rsidRPr="00733E69" w:rsidRDefault="004E33C4" w:rsidP="004E33C4">
      <w:pPr>
        <w:pStyle w:val="ListParagraph"/>
        <w:numPr>
          <w:ilvl w:val="0"/>
          <w:numId w:val="44"/>
        </w:numPr>
        <w:jc w:val="both"/>
        <w:rPr>
          <w:b/>
        </w:rPr>
      </w:pPr>
      <w:r w:rsidRPr="00733E69">
        <w:t>izmaksu efektīvāks siltumnīcefekta gāzu(turpmāk –SEG) samazinājumam, tai skaitā ņemot vērā ES Klimata politikas mērķus;</w:t>
      </w:r>
    </w:p>
    <w:p w:rsidR="004E33C4" w:rsidRPr="00733E69" w:rsidRDefault="004E33C4" w:rsidP="004E33C4">
      <w:pPr>
        <w:pStyle w:val="ListParagraph"/>
        <w:numPr>
          <w:ilvl w:val="0"/>
          <w:numId w:val="44"/>
        </w:numPr>
        <w:jc w:val="both"/>
        <w:rPr>
          <w:b/>
        </w:rPr>
      </w:pPr>
      <w:r w:rsidRPr="00733E69">
        <w:t>nekavētu iesaistīto nozaru ilgtspējīgu attīstību un veicinātu videi draudzīgu tehnoloģiju attīstību, uzlabojot tirgus perspektīvas alternatīvām tehnoloģijām ar zemu globālās sasilšanas potenciālu;</w:t>
      </w:r>
    </w:p>
    <w:p w:rsidR="004E33C4" w:rsidRPr="00733E69" w:rsidRDefault="004E33C4" w:rsidP="004E33C4">
      <w:pPr>
        <w:pStyle w:val="ListParagraph"/>
        <w:numPr>
          <w:ilvl w:val="0"/>
          <w:numId w:val="44"/>
        </w:numPr>
        <w:jc w:val="both"/>
        <w:rPr>
          <w:b/>
        </w:rPr>
      </w:pPr>
      <w:r w:rsidRPr="00733E69">
        <w:t xml:space="preserve">papildināts ar jaunām </w:t>
      </w:r>
      <w:proofErr w:type="spellStart"/>
      <w:r w:rsidRPr="00733E69">
        <w:t>fluorētajām</w:t>
      </w:r>
      <w:proofErr w:type="spellEnd"/>
      <w:r w:rsidRPr="00733E69">
        <w:t xml:space="preserve"> SEG gāzēm,</w:t>
      </w:r>
    </w:p>
    <w:p w:rsidR="004E33C4" w:rsidRPr="00733E69" w:rsidRDefault="004E33C4" w:rsidP="004E33C4">
      <w:pPr>
        <w:pStyle w:val="ListParagraph"/>
        <w:numPr>
          <w:ilvl w:val="0"/>
          <w:numId w:val="44"/>
        </w:numPr>
        <w:jc w:val="both"/>
        <w:rPr>
          <w:b/>
        </w:rPr>
      </w:pPr>
      <w:r w:rsidRPr="00733E69">
        <w:t>nodrošinātu ES starptautisko saistību (Monreālas Protokola) ietvaros.</w:t>
      </w:r>
    </w:p>
    <w:p w:rsidR="004E33C4" w:rsidRPr="00733E69" w:rsidRDefault="00E555C4" w:rsidP="004E33C4">
      <w:pPr>
        <w:jc w:val="both"/>
        <w:rPr>
          <w:b/>
        </w:rPr>
      </w:pPr>
      <w:r>
        <w:rPr>
          <w:b/>
        </w:rPr>
        <w:tab/>
      </w:r>
      <w:r w:rsidR="004E33C4" w:rsidRPr="00733E69">
        <w:rPr>
          <w:b/>
        </w:rPr>
        <w:t xml:space="preserve">Latvija uzskata, ka uz šo brīdi ir panākts ievērojams progress darbā pie regulas projekta. </w:t>
      </w:r>
    </w:p>
    <w:p w:rsidR="004E33C4" w:rsidRPr="00733E69" w:rsidRDefault="00E555C4" w:rsidP="004E33C4">
      <w:pPr>
        <w:jc w:val="both"/>
      </w:pPr>
      <w:r>
        <w:tab/>
      </w:r>
      <w:r w:rsidR="004E33C4" w:rsidRPr="00733E69">
        <w:t xml:space="preserve">Latvija līdz šim ir paudusi atbalstošu nostāju projekta virzībai Padomes vides darba grupās. Vienlaikus gan ir tikuši izteikti priekšlikumi regulas projekta redakcijas pilnveidošanā, atbalstot prezidentūras priekšlikumus, </w:t>
      </w:r>
      <w:r w:rsidR="004E33C4" w:rsidRPr="00733E69">
        <w:rPr>
          <w:u w:val="single"/>
        </w:rPr>
        <w:t>bet uzturot konsekventas iebildes pret regulējumu, kas satur norādi uz deleģēto tiesību aktu izstrādi</w:t>
      </w:r>
      <w:r w:rsidR="004E33C4" w:rsidRPr="00733E69">
        <w:t xml:space="preserve"> (3.pants – noplūžu kontrole, 18.pants emisiju datu apkopošana (svītrots aktuālajā redakcijā).</w:t>
      </w:r>
    </w:p>
    <w:p w:rsidR="004E33C4" w:rsidRPr="00733E69" w:rsidRDefault="007631DF" w:rsidP="004E33C4">
      <w:pPr>
        <w:jc w:val="both"/>
      </w:pPr>
      <w:r>
        <w:tab/>
      </w:r>
      <w:r w:rsidR="004E33C4" w:rsidRPr="00733E69">
        <w:t xml:space="preserve">Latvija uzskata, ka regulējums palīdzēs ES Klimata politikas mērķu sasniegšanai, veicinās „zaļo” tehnoloģiju attīstību </w:t>
      </w:r>
      <w:proofErr w:type="spellStart"/>
      <w:r w:rsidR="004E33C4" w:rsidRPr="00733E69">
        <w:t>fluorēto</w:t>
      </w:r>
      <w:proofErr w:type="spellEnd"/>
      <w:r w:rsidR="004E33C4" w:rsidRPr="00733E69">
        <w:t xml:space="preserve"> SEG gāzu nomaiņā uz citām vielām un tehnoloģijām. </w:t>
      </w:r>
    </w:p>
    <w:p w:rsidR="004E33C4" w:rsidRPr="00733E69" w:rsidRDefault="007631DF" w:rsidP="004E33C4">
      <w:pPr>
        <w:jc w:val="both"/>
      </w:pPr>
      <w:r>
        <w:tab/>
      </w:r>
      <w:r w:rsidR="004E33C4" w:rsidRPr="00733E69">
        <w:t>Latvijas, tāpat kā citu ES valstu interesēs ir, lai regulas teksts būtu viennozīmīgs (skaidri definēti termini, pārdomātas atsauces, u.c.</w:t>
      </w:r>
      <w:r>
        <w:t xml:space="preserve"> </w:t>
      </w:r>
      <w:r w:rsidR="004E33C4" w:rsidRPr="00733E69">
        <w:t xml:space="preserve">elementi), kas nodrošinās adekvātu un pareizu normu ieviešanu un piemērošanu, tai skaitā mazinot administratīvo slogu kā uzņēmējiem tā kompetentajām iestādēm. </w:t>
      </w:r>
      <w:r w:rsidR="00733E69" w:rsidRPr="00733E69">
        <w:t>Š</w:t>
      </w:r>
      <w:r w:rsidR="004E33C4" w:rsidRPr="00733E69">
        <w:t xml:space="preserve">ajā sakarā Latvijas īpaša interese (arī citu ES mazo valstu) ir panākt, lai no šobrīd spēkā esošā regulējuma – Regulas 842/2006 tiktu saglabāta noteiktā speciālistu sertifikācijas sistēma. Ar vērību sekojam regulējuma attīstībai attiecībā uz kvotu pieeju un darbībām ar kvotām attiecībā uz </w:t>
      </w:r>
      <w:proofErr w:type="spellStart"/>
      <w:r w:rsidR="004E33C4" w:rsidRPr="00733E69">
        <w:t>fluorētajām</w:t>
      </w:r>
      <w:proofErr w:type="spellEnd"/>
      <w:r w:rsidR="004E33C4" w:rsidRPr="00733E69">
        <w:t xml:space="preserve"> SEG gāzēm. Ar izpratni attiecamies pret regulējuma elementiem, kas virzīti uz tirgus ierobežojuma nosacījumiem, tai skaitā muitas režīma piemērošanu, kā arī izņēmuma gadījumiem, kas varētu tikt piemēroti atsevišķās jomās, piemēram, medicīnā.</w:t>
      </w:r>
    </w:p>
    <w:p w:rsidR="004E33C4" w:rsidRDefault="009A78D7" w:rsidP="004E33C4">
      <w:pPr>
        <w:jc w:val="both"/>
        <w:rPr>
          <w:i/>
        </w:rPr>
      </w:pPr>
      <w:r w:rsidRPr="009A78D7">
        <w:rPr>
          <w:i/>
        </w:rPr>
        <w:tab/>
      </w:r>
      <w:r w:rsidR="004E33C4" w:rsidRPr="009A78D7">
        <w:rPr>
          <w:i/>
          <w:u w:val="single"/>
        </w:rPr>
        <w:t>Papildus informācija</w:t>
      </w:r>
      <w:r w:rsidR="004E33C4" w:rsidRPr="009A78D7">
        <w:rPr>
          <w:i/>
        </w:rPr>
        <w:t>:</w:t>
      </w:r>
      <w:r w:rsidR="004E33C4" w:rsidRPr="00733E69">
        <w:rPr>
          <w:i/>
        </w:rPr>
        <w:t xml:space="preserve"> Ņemot vērā Latvijā spēkā esošo normatīvo aktu regulējumu</w:t>
      </w:r>
      <w:r w:rsidR="004E33C4" w:rsidRPr="00733E69">
        <w:rPr>
          <w:rStyle w:val="FootnoteReference"/>
          <w:i/>
        </w:rPr>
        <w:footnoteReference w:id="4"/>
      </w:r>
      <w:r w:rsidR="004E33C4" w:rsidRPr="00733E69">
        <w:rPr>
          <w:i/>
        </w:rPr>
        <w:t xml:space="preserve">, kas nosaka atbildīgās institūcijas Regulas 842/2006 kontekstā, prasības personāla, kas strādā ar </w:t>
      </w:r>
      <w:proofErr w:type="spellStart"/>
      <w:r w:rsidR="004E33C4" w:rsidRPr="00733E69">
        <w:rPr>
          <w:i/>
        </w:rPr>
        <w:t>fluorētās</w:t>
      </w:r>
      <w:proofErr w:type="spellEnd"/>
      <w:r w:rsidR="004E33C4" w:rsidRPr="00733E69">
        <w:rPr>
          <w:i/>
        </w:rPr>
        <w:t xml:space="preserve"> gāzes saturošām iekārtām sertificēšanai, uzskaites datu vākšanai, kontrolei. Regulas 842/2006 prasību izpilde Latvijai nav radījusi problēmas.</w:t>
      </w:r>
    </w:p>
    <w:p w:rsidR="00D605D4" w:rsidRPr="00733E69" w:rsidRDefault="00D605D4" w:rsidP="004E33C4">
      <w:pPr>
        <w:jc w:val="both"/>
        <w:rPr>
          <w:i/>
        </w:rPr>
      </w:pPr>
    </w:p>
    <w:p w:rsidR="00D605D4" w:rsidRDefault="00D605D4" w:rsidP="0097759D">
      <w:pPr>
        <w:jc w:val="both"/>
        <w:rPr>
          <w:b/>
          <w:i/>
          <w:sz w:val="28"/>
          <w:szCs w:val="28"/>
        </w:rPr>
      </w:pPr>
      <w:r w:rsidRPr="00E555C4">
        <w:rPr>
          <w:b/>
          <w:sz w:val="28"/>
          <w:szCs w:val="28"/>
        </w:rPr>
        <w:t xml:space="preserve">d) </w:t>
      </w:r>
      <w:proofErr w:type="spellStart"/>
      <w:r w:rsidRPr="00E555C4">
        <w:rPr>
          <w:b/>
          <w:sz w:val="28"/>
          <w:szCs w:val="28"/>
        </w:rPr>
        <w:t>Mikroplast</w:t>
      </w:r>
      <w:r w:rsidR="008F2DE3">
        <w:rPr>
          <w:b/>
          <w:sz w:val="28"/>
          <w:szCs w:val="28"/>
        </w:rPr>
        <w:t>masa</w:t>
      </w:r>
      <w:proofErr w:type="spellEnd"/>
      <w:r w:rsidRPr="00E555C4">
        <w:rPr>
          <w:b/>
          <w:sz w:val="28"/>
          <w:szCs w:val="28"/>
        </w:rPr>
        <w:t xml:space="preserve"> vidē </w:t>
      </w:r>
      <w:r w:rsidRPr="008F2DE3">
        <w:rPr>
          <w:b/>
          <w:i/>
          <w:sz w:val="28"/>
          <w:szCs w:val="28"/>
        </w:rPr>
        <w:t>(</w:t>
      </w:r>
      <w:r w:rsidR="008F2DE3" w:rsidRPr="008F2DE3">
        <w:rPr>
          <w:b/>
          <w:i/>
        </w:rPr>
        <w:t>Nīderlandes delegācijas sniegta informācija</w:t>
      </w:r>
      <w:r w:rsidRPr="008F2DE3">
        <w:rPr>
          <w:b/>
          <w:i/>
          <w:sz w:val="28"/>
          <w:szCs w:val="28"/>
        </w:rPr>
        <w:t>)</w:t>
      </w:r>
    </w:p>
    <w:p w:rsidR="007D0917" w:rsidRPr="007D0917" w:rsidRDefault="007D0917" w:rsidP="0097759D">
      <w:pPr>
        <w:jc w:val="both"/>
        <w:rPr>
          <w:i/>
        </w:rPr>
      </w:pPr>
      <w:r>
        <w:rPr>
          <w:i/>
        </w:rPr>
        <w:tab/>
      </w:r>
      <w:r w:rsidR="00E70E2B">
        <w:rPr>
          <w:i/>
        </w:rPr>
        <w:t xml:space="preserve">Sagaidāms, ka </w:t>
      </w:r>
      <w:r w:rsidRPr="007D0917">
        <w:rPr>
          <w:i/>
        </w:rPr>
        <w:t xml:space="preserve">Nīderlandes delegācija </w:t>
      </w:r>
      <w:r w:rsidR="00B0654C">
        <w:rPr>
          <w:i/>
        </w:rPr>
        <w:t xml:space="preserve">informēs </w:t>
      </w:r>
      <w:r w:rsidRPr="007D0917">
        <w:rPr>
          <w:i/>
        </w:rPr>
        <w:t xml:space="preserve">par jautājuma </w:t>
      </w:r>
      <w:r w:rsidR="00B0654C">
        <w:rPr>
          <w:i/>
        </w:rPr>
        <w:t xml:space="preserve">virzības </w:t>
      </w:r>
      <w:r w:rsidR="00B0654C" w:rsidRPr="00341C6F">
        <w:rPr>
          <w:i/>
        </w:rPr>
        <w:t>gaitu</w:t>
      </w:r>
      <w:r w:rsidRPr="007D0917">
        <w:rPr>
          <w:i/>
        </w:rPr>
        <w:t>.</w:t>
      </w:r>
    </w:p>
    <w:p w:rsidR="0097759D" w:rsidRDefault="009A78D7" w:rsidP="0097759D">
      <w:pPr>
        <w:pStyle w:val="Titreobjet"/>
        <w:spacing w:before="0" w:after="0"/>
        <w:jc w:val="both"/>
        <w:rPr>
          <w:b w:val="0"/>
          <w:noProof/>
        </w:rPr>
      </w:pPr>
      <w:r>
        <w:rPr>
          <w:b w:val="0"/>
          <w:noProof/>
        </w:rPr>
        <w:tab/>
      </w:r>
      <w:r w:rsidR="0097759D">
        <w:rPr>
          <w:b w:val="0"/>
          <w:noProof/>
        </w:rPr>
        <w:t>Mikroplast</w:t>
      </w:r>
      <w:r w:rsidR="008F2DE3">
        <w:rPr>
          <w:b w:val="0"/>
          <w:noProof/>
        </w:rPr>
        <w:t>masas</w:t>
      </w:r>
      <w:r w:rsidR="0097759D">
        <w:rPr>
          <w:b w:val="0"/>
          <w:noProof/>
        </w:rPr>
        <w:t xml:space="preserve"> vidē jautājums lielākoties tiek apskatīts saistībā ar jūras vidi un </w:t>
      </w:r>
      <w:r w:rsidR="009E65F8">
        <w:rPr>
          <w:b w:val="0"/>
          <w:noProof/>
        </w:rPr>
        <w:t xml:space="preserve">tās </w:t>
      </w:r>
      <w:r w:rsidR="0097759D">
        <w:rPr>
          <w:b w:val="0"/>
          <w:noProof/>
        </w:rPr>
        <w:t xml:space="preserve">piesārņojumu. </w:t>
      </w:r>
      <w:r w:rsidR="0097759D" w:rsidRPr="004278E6">
        <w:rPr>
          <w:b w:val="0"/>
          <w:noProof/>
        </w:rPr>
        <w:t>Jūru piesārņojošo atkritumu problēma dažādos Eiroaps jūr</w:t>
      </w:r>
      <w:r w:rsidR="0097759D">
        <w:rPr>
          <w:b w:val="0"/>
          <w:noProof/>
        </w:rPr>
        <w:t>u</w:t>
      </w:r>
      <w:r w:rsidR="0097759D" w:rsidRPr="004278E6">
        <w:rPr>
          <w:b w:val="0"/>
          <w:noProof/>
        </w:rPr>
        <w:t xml:space="preserve"> </w:t>
      </w:r>
      <w:r w:rsidR="0097759D">
        <w:rPr>
          <w:b w:val="0"/>
          <w:noProof/>
        </w:rPr>
        <w:t>r</w:t>
      </w:r>
      <w:r w:rsidR="0097759D" w:rsidRPr="004278E6">
        <w:rPr>
          <w:b w:val="0"/>
          <w:noProof/>
        </w:rPr>
        <w:t>eģionos</w:t>
      </w:r>
      <w:r w:rsidR="0097759D" w:rsidRPr="00722F32">
        <w:rPr>
          <w:b w:val="0"/>
          <w:noProof/>
        </w:rPr>
        <w:t xml:space="preserve"> </w:t>
      </w:r>
      <w:r w:rsidR="0097759D" w:rsidRPr="004278E6">
        <w:rPr>
          <w:b w:val="0"/>
          <w:noProof/>
        </w:rPr>
        <w:t>atšķir</w:t>
      </w:r>
      <w:r w:rsidR="0097759D">
        <w:rPr>
          <w:b w:val="0"/>
          <w:noProof/>
        </w:rPr>
        <w:t>as</w:t>
      </w:r>
      <w:r w:rsidR="0097759D" w:rsidRPr="004278E6">
        <w:rPr>
          <w:b w:val="0"/>
          <w:noProof/>
        </w:rPr>
        <w:t>.</w:t>
      </w:r>
      <w:r w:rsidR="0097759D">
        <w:rPr>
          <w:noProof/>
        </w:rPr>
        <w:t xml:space="preserve"> </w:t>
      </w:r>
      <w:r w:rsidR="0097759D" w:rsidRPr="004278E6">
        <w:rPr>
          <w:b w:val="0"/>
          <w:i/>
          <w:noProof/>
        </w:rPr>
        <w:t xml:space="preserve"> </w:t>
      </w:r>
      <w:r w:rsidR="0097759D" w:rsidRPr="004278E6">
        <w:rPr>
          <w:b w:val="0"/>
          <w:i/>
          <w:noProof/>
        </w:rPr>
        <w:lastRenderedPageBreak/>
        <w:t xml:space="preserve">Mikrodaļiņu (jo īpaši mikroplastikāta) daudzums, sadalījums un sastāvs, kā arī  tendences attiecībā uz jūras dzīvnieku apēsto atkritumu daudzumu un sastāvu (piemēram, kuņģa satura analīze) ir </w:t>
      </w:r>
      <w:r w:rsidR="0097759D" w:rsidRPr="004278E6">
        <w:rPr>
          <w:b w:val="0"/>
          <w:noProof/>
        </w:rPr>
        <w:t>kvalitatīvā raksturlieluma “</w:t>
      </w:r>
      <w:r w:rsidR="0097759D" w:rsidRPr="004278E6">
        <w:rPr>
          <w:b w:val="0"/>
          <w:i/>
          <w:noProof/>
        </w:rPr>
        <w:t>Jūru piesārņojošo atkritumu īpašības un daudzums nekaitē piekrastes un jūras videi”</w:t>
      </w:r>
      <w:r w:rsidR="0097759D" w:rsidRPr="004278E6">
        <w:rPr>
          <w:b w:val="0"/>
          <w:noProof/>
        </w:rPr>
        <w:t xml:space="preserve"> </w:t>
      </w:r>
      <w:r w:rsidR="0097759D" w:rsidRPr="004278E6">
        <w:rPr>
          <w:b w:val="0"/>
          <w:i/>
          <w:noProof/>
        </w:rPr>
        <w:t xml:space="preserve">rādītāji </w:t>
      </w:r>
      <w:r w:rsidR="0097759D" w:rsidRPr="004278E6">
        <w:rPr>
          <w:b w:val="0"/>
          <w:noProof/>
        </w:rPr>
        <w:t>laba jūras vides stāvokļa panākšanai atbilstoši Jūras stratēģijas pamatdirektīvas 2008/56/EK prasībām. Tomēr, kā norādīts EK lēmumā (1.09.2010) par laba jūras ūdeņu vides stāvokļa kritērijiem un metodiskajiem standartiem</w:t>
      </w:r>
      <w:r w:rsidR="0097759D">
        <w:rPr>
          <w:b w:val="0"/>
          <w:noProof/>
        </w:rPr>
        <w:t>,</w:t>
      </w:r>
      <w:r w:rsidR="0097759D" w:rsidRPr="004278E6">
        <w:rPr>
          <w:b w:val="0"/>
          <w:noProof/>
        </w:rPr>
        <w:t xml:space="preserve"> jāturpina šī rādītāja izstrāde, balstoties uz pieredzi, kas gūta dažos jūru apakšreģionos (piemēram, Ziemeļjūrā), pielāgojot to citiem jūru reģioniem. Joprojām jāturpina rādītāju, kas saistīti ar bioloģisko ietekmi un mikrodaļiņām, izstrāde, kā arī jāuzlabo to varbūtējā toksiskuma novērtēšana.</w:t>
      </w:r>
    </w:p>
    <w:p w:rsidR="0097759D" w:rsidRDefault="009E65F8" w:rsidP="0097759D">
      <w:pPr>
        <w:jc w:val="both"/>
        <w:rPr>
          <w:i/>
        </w:rPr>
      </w:pPr>
      <w:r>
        <w:rPr>
          <w:lang w:eastAsia="en-GB"/>
        </w:rPr>
        <w:tab/>
      </w:r>
      <w:r w:rsidR="0097759D">
        <w:rPr>
          <w:lang w:eastAsia="en-GB"/>
        </w:rPr>
        <w:t xml:space="preserve">2012.gada oktobrī EK publiskoja pārskatu (SWD(2012) 365 </w:t>
      </w:r>
      <w:proofErr w:type="spellStart"/>
      <w:r w:rsidR="0097759D">
        <w:rPr>
          <w:lang w:eastAsia="en-GB"/>
        </w:rPr>
        <w:t>final</w:t>
      </w:r>
      <w:proofErr w:type="spellEnd"/>
      <w:r w:rsidR="0097759D">
        <w:rPr>
          <w:lang w:eastAsia="en-GB"/>
        </w:rPr>
        <w:t xml:space="preserve">) par ES politikām, tiesību aktiem un iniciatīvām saistībā ar </w:t>
      </w:r>
      <w:r w:rsidR="0097759D">
        <w:rPr>
          <w:noProof/>
        </w:rPr>
        <w:t>j</w:t>
      </w:r>
      <w:r w:rsidR="0097759D" w:rsidRPr="004278E6">
        <w:rPr>
          <w:noProof/>
        </w:rPr>
        <w:t>ūru piesārņojošo atkritumu</w:t>
      </w:r>
      <w:r w:rsidR="0097759D">
        <w:rPr>
          <w:noProof/>
        </w:rPr>
        <w:t xml:space="preserve"> problēmu.</w:t>
      </w:r>
      <w:r>
        <w:rPr>
          <w:noProof/>
        </w:rPr>
        <w:t xml:space="preserve"> </w:t>
      </w:r>
      <w:r w:rsidR="0097759D">
        <w:rPr>
          <w:noProof/>
        </w:rPr>
        <w:t xml:space="preserve">Berlīnē 10-12.aprīlī notika konference veltīta </w:t>
      </w:r>
      <w:r w:rsidR="0097759D" w:rsidRPr="00FA5439">
        <w:rPr>
          <w:noProof/>
        </w:rPr>
        <w:t>jūru piesārņojošo atkritumu</w:t>
      </w:r>
      <w:r w:rsidR="0097759D">
        <w:rPr>
          <w:noProof/>
        </w:rPr>
        <w:t xml:space="preserve">, tostarp, mikroplastikas, problēmai. </w:t>
      </w:r>
      <w:proofErr w:type="spellStart"/>
      <w:r w:rsidR="0097759D" w:rsidRPr="00FA5439">
        <w:rPr>
          <w:i/>
        </w:rPr>
        <w:t>International</w:t>
      </w:r>
      <w:proofErr w:type="spellEnd"/>
      <w:r w:rsidR="0097759D" w:rsidRPr="00FA5439">
        <w:rPr>
          <w:i/>
        </w:rPr>
        <w:t xml:space="preserve"> </w:t>
      </w:r>
      <w:proofErr w:type="spellStart"/>
      <w:r w:rsidR="0097759D" w:rsidRPr="00FA5439">
        <w:rPr>
          <w:i/>
        </w:rPr>
        <w:t>Conference</w:t>
      </w:r>
      <w:proofErr w:type="spellEnd"/>
      <w:r w:rsidR="0097759D" w:rsidRPr="00FA5439">
        <w:rPr>
          <w:i/>
        </w:rPr>
        <w:t xml:space="preserve"> </w:t>
      </w:r>
      <w:proofErr w:type="spellStart"/>
      <w:r w:rsidR="0097759D" w:rsidRPr="00FA5439">
        <w:rPr>
          <w:i/>
        </w:rPr>
        <w:t>on</w:t>
      </w:r>
      <w:proofErr w:type="spellEnd"/>
      <w:r w:rsidR="0097759D" w:rsidRPr="00FA5439">
        <w:rPr>
          <w:i/>
        </w:rPr>
        <w:t xml:space="preserve"> </w:t>
      </w:r>
      <w:proofErr w:type="spellStart"/>
      <w:r w:rsidR="0097759D" w:rsidRPr="00FA5439">
        <w:rPr>
          <w:i/>
        </w:rPr>
        <w:t>Prevention</w:t>
      </w:r>
      <w:proofErr w:type="spellEnd"/>
      <w:r w:rsidR="0097759D" w:rsidRPr="00FA5439">
        <w:rPr>
          <w:i/>
        </w:rPr>
        <w:t xml:space="preserve"> </w:t>
      </w:r>
      <w:proofErr w:type="spellStart"/>
      <w:r w:rsidR="0097759D" w:rsidRPr="00FA5439">
        <w:rPr>
          <w:i/>
        </w:rPr>
        <w:t>and</w:t>
      </w:r>
      <w:proofErr w:type="spellEnd"/>
      <w:r w:rsidR="0097759D" w:rsidRPr="00FA5439">
        <w:rPr>
          <w:i/>
        </w:rPr>
        <w:t xml:space="preserve"> </w:t>
      </w:r>
      <w:proofErr w:type="spellStart"/>
      <w:r w:rsidR="0097759D" w:rsidRPr="00FA5439">
        <w:rPr>
          <w:i/>
        </w:rPr>
        <w:t>Management</w:t>
      </w:r>
      <w:proofErr w:type="spellEnd"/>
      <w:r w:rsidR="0097759D" w:rsidRPr="00FA5439">
        <w:rPr>
          <w:i/>
        </w:rPr>
        <w:t xml:space="preserve"> </w:t>
      </w:r>
      <w:proofErr w:type="spellStart"/>
      <w:r w:rsidR="0097759D" w:rsidRPr="00FA5439">
        <w:rPr>
          <w:i/>
        </w:rPr>
        <w:t>of</w:t>
      </w:r>
      <w:proofErr w:type="spellEnd"/>
      <w:r w:rsidR="0097759D" w:rsidRPr="00FA5439">
        <w:rPr>
          <w:i/>
        </w:rPr>
        <w:t xml:space="preserve"> </w:t>
      </w:r>
      <w:proofErr w:type="spellStart"/>
      <w:r w:rsidR="0097759D" w:rsidRPr="00FA5439">
        <w:rPr>
          <w:i/>
        </w:rPr>
        <w:t>Marine</w:t>
      </w:r>
      <w:proofErr w:type="spellEnd"/>
      <w:r w:rsidR="0097759D" w:rsidRPr="00FA5439">
        <w:rPr>
          <w:i/>
        </w:rPr>
        <w:t xml:space="preserve"> </w:t>
      </w:r>
      <w:proofErr w:type="spellStart"/>
      <w:r w:rsidR="0097759D" w:rsidRPr="00FA5439">
        <w:rPr>
          <w:i/>
        </w:rPr>
        <w:t>Litter</w:t>
      </w:r>
      <w:proofErr w:type="spellEnd"/>
      <w:r w:rsidR="0097759D" w:rsidRPr="00FA5439">
        <w:rPr>
          <w:i/>
        </w:rPr>
        <w:t xml:space="preserve"> </w:t>
      </w:r>
      <w:proofErr w:type="spellStart"/>
      <w:r w:rsidR="0097759D" w:rsidRPr="00FA5439">
        <w:rPr>
          <w:i/>
        </w:rPr>
        <w:t>in</w:t>
      </w:r>
      <w:proofErr w:type="spellEnd"/>
      <w:r w:rsidR="0097759D" w:rsidRPr="00FA5439">
        <w:rPr>
          <w:i/>
        </w:rPr>
        <w:t xml:space="preserve"> </w:t>
      </w:r>
      <w:proofErr w:type="spellStart"/>
      <w:r w:rsidR="0097759D" w:rsidRPr="00FA5439">
        <w:rPr>
          <w:i/>
        </w:rPr>
        <w:t>European</w:t>
      </w:r>
      <w:proofErr w:type="spellEnd"/>
      <w:r w:rsidR="0097759D" w:rsidRPr="00FA5439">
        <w:rPr>
          <w:i/>
        </w:rPr>
        <w:t xml:space="preserve"> </w:t>
      </w:r>
      <w:proofErr w:type="spellStart"/>
      <w:r w:rsidR="0097759D" w:rsidRPr="00FA5439">
        <w:rPr>
          <w:i/>
        </w:rPr>
        <w:t>Seas</w:t>
      </w:r>
      <w:proofErr w:type="spellEnd"/>
      <w:r w:rsidR="0097759D" w:rsidRPr="00FA5439">
        <w:rPr>
          <w:i/>
        </w:rPr>
        <w:t xml:space="preserve">, 10 - 12 </w:t>
      </w:r>
      <w:proofErr w:type="spellStart"/>
      <w:r w:rsidR="0097759D" w:rsidRPr="00FA5439">
        <w:rPr>
          <w:i/>
        </w:rPr>
        <w:t>April</w:t>
      </w:r>
      <w:proofErr w:type="spellEnd"/>
      <w:r w:rsidR="0097759D" w:rsidRPr="00FA5439">
        <w:rPr>
          <w:i/>
        </w:rPr>
        <w:t xml:space="preserve">, </w:t>
      </w:r>
      <w:proofErr w:type="spellStart"/>
      <w:r w:rsidR="0097759D" w:rsidRPr="00FA5439">
        <w:rPr>
          <w:i/>
        </w:rPr>
        <w:t>co-organized</w:t>
      </w:r>
      <w:proofErr w:type="spellEnd"/>
      <w:r w:rsidR="0097759D" w:rsidRPr="00FA5439">
        <w:rPr>
          <w:i/>
        </w:rPr>
        <w:t xml:space="preserve"> </w:t>
      </w:r>
      <w:proofErr w:type="spellStart"/>
      <w:r w:rsidR="0097759D" w:rsidRPr="00FA5439">
        <w:rPr>
          <w:i/>
        </w:rPr>
        <w:t>by</w:t>
      </w:r>
      <w:proofErr w:type="spellEnd"/>
      <w:r w:rsidR="0097759D" w:rsidRPr="00FA5439">
        <w:rPr>
          <w:i/>
        </w:rPr>
        <w:t xml:space="preserve"> </w:t>
      </w:r>
      <w:proofErr w:type="spellStart"/>
      <w:r w:rsidR="0097759D" w:rsidRPr="00FA5439">
        <w:rPr>
          <w:i/>
        </w:rPr>
        <w:t>the</w:t>
      </w:r>
      <w:proofErr w:type="spellEnd"/>
      <w:r w:rsidR="0097759D" w:rsidRPr="00FA5439">
        <w:rPr>
          <w:i/>
        </w:rPr>
        <w:t xml:space="preserve"> </w:t>
      </w:r>
      <w:proofErr w:type="spellStart"/>
      <w:r w:rsidR="0097759D" w:rsidRPr="00FA5439">
        <w:rPr>
          <w:i/>
        </w:rPr>
        <w:t>German</w:t>
      </w:r>
      <w:proofErr w:type="spellEnd"/>
      <w:r w:rsidR="0097759D" w:rsidRPr="00FA5439">
        <w:rPr>
          <w:i/>
        </w:rPr>
        <w:t xml:space="preserve"> </w:t>
      </w:r>
      <w:proofErr w:type="spellStart"/>
      <w:r w:rsidR="0097759D" w:rsidRPr="00FA5439">
        <w:rPr>
          <w:i/>
        </w:rPr>
        <w:t>Federal</w:t>
      </w:r>
      <w:proofErr w:type="spellEnd"/>
      <w:r w:rsidR="0097759D" w:rsidRPr="00FA5439">
        <w:rPr>
          <w:i/>
        </w:rPr>
        <w:t xml:space="preserve"> </w:t>
      </w:r>
      <w:proofErr w:type="spellStart"/>
      <w:r w:rsidR="0097759D" w:rsidRPr="00FA5439">
        <w:rPr>
          <w:i/>
        </w:rPr>
        <w:t>Ministry</w:t>
      </w:r>
      <w:proofErr w:type="spellEnd"/>
      <w:r w:rsidR="0097759D" w:rsidRPr="00FA5439">
        <w:rPr>
          <w:i/>
        </w:rPr>
        <w:t xml:space="preserve"> </w:t>
      </w:r>
      <w:proofErr w:type="spellStart"/>
      <w:r w:rsidR="0097759D" w:rsidRPr="00FA5439">
        <w:rPr>
          <w:i/>
        </w:rPr>
        <w:t>of</w:t>
      </w:r>
      <w:proofErr w:type="spellEnd"/>
      <w:r w:rsidR="0097759D" w:rsidRPr="00FA5439">
        <w:rPr>
          <w:i/>
        </w:rPr>
        <w:t xml:space="preserve"> </w:t>
      </w:r>
      <w:proofErr w:type="spellStart"/>
      <w:r w:rsidR="0097759D" w:rsidRPr="00FA5439">
        <w:rPr>
          <w:i/>
        </w:rPr>
        <w:t>the</w:t>
      </w:r>
      <w:proofErr w:type="spellEnd"/>
      <w:r w:rsidR="0097759D" w:rsidRPr="00FA5439">
        <w:rPr>
          <w:i/>
        </w:rPr>
        <w:t xml:space="preserve"> </w:t>
      </w:r>
      <w:proofErr w:type="spellStart"/>
      <w:r w:rsidR="0097759D" w:rsidRPr="00FA5439">
        <w:rPr>
          <w:i/>
        </w:rPr>
        <w:t>Environment</w:t>
      </w:r>
      <w:proofErr w:type="spellEnd"/>
      <w:r w:rsidR="0097759D" w:rsidRPr="00FA5439">
        <w:rPr>
          <w:i/>
        </w:rPr>
        <w:t xml:space="preserve">, </w:t>
      </w:r>
      <w:proofErr w:type="spellStart"/>
      <w:r w:rsidR="0097759D" w:rsidRPr="00FA5439">
        <w:rPr>
          <w:i/>
        </w:rPr>
        <w:t>the</w:t>
      </w:r>
      <w:proofErr w:type="spellEnd"/>
      <w:r w:rsidR="0097759D" w:rsidRPr="00FA5439">
        <w:rPr>
          <w:i/>
        </w:rPr>
        <w:t xml:space="preserve"> </w:t>
      </w:r>
      <w:proofErr w:type="spellStart"/>
      <w:r w:rsidR="0097759D" w:rsidRPr="00FA5439">
        <w:rPr>
          <w:i/>
        </w:rPr>
        <w:t>German</w:t>
      </w:r>
      <w:proofErr w:type="spellEnd"/>
      <w:r w:rsidR="0097759D" w:rsidRPr="00FA5439">
        <w:rPr>
          <w:i/>
        </w:rPr>
        <w:t xml:space="preserve"> </w:t>
      </w:r>
      <w:proofErr w:type="spellStart"/>
      <w:r w:rsidR="0097759D" w:rsidRPr="00FA5439">
        <w:rPr>
          <w:i/>
        </w:rPr>
        <w:t>Federal</w:t>
      </w:r>
      <w:proofErr w:type="spellEnd"/>
      <w:r w:rsidR="0097759D" w:rsidRPr="00FA5439">
        <w:rPr>
          <w:i/>
        </w:rPr>
        <w:t xml:space="preserve"> </w:t>
      </w:r>
      <w:proofErr w:type="spellStart"/>
      <w:r w:rsidR="0097759D" w:rsidRPr="00FA5439">
        <w:rPr>
          <w:i/>
        </w:rPr>
        <w:t>Environment</w:t>
      </w:r>
      <w:proofErr w:type="spellEnd"/>
      <w:r w:rsidR="0097759D" w:rsidRPr="00FA5439">
        <w:rPr>
          <w:i/>
        </w:rPr>
        <w:t xml:space="preserve"> </w:t>
      </w:r>
      <w:proofErr w:type="spellStart"/>
      <w:r w:rsidR="0097759D" w:rsidRPr="00FA5439">
        <w:rPr>
          <w:i/>
        </w:rPr>
        <w:t>Agency</w:t>
      </w:r>
      <w:proofErr w:type="spellEnd"/>
      <w:r w:rsidR="0097759D" w:rsidRPr="00FA5439">
        <w:rPr>
          <w:i/>
        </w:rPr>
        <w:t xml:space="preserve"> </w:t>
      </w:r>
      <w:proofErr w:type="spellStart"/>
      <w:r w:rsidR="0097759D" w:rsidRPr="00FA5439">
        <w:rPr>
          <w:i/>
        </w:rPr>
        <w:t>and</w:t>
      </w:r>
      <w:proofErr w:type="spellEnd"/>
      <w:r w:rsidR="0097759D" w:rsidRPr="00FA5439">
        <w:rPr>
          <w:i/>
        </w:rPr>
        <w:t xml:space="preserve"> </w:t>
      </w:r>
      <w:proofErr w:type="spellStart"/>
      <w:r w:rsidR="0097759D" w:rsidRPr="00FA5439">
        <w:rPr>
          <w:i/>
        </w:rPr>
        <w:t>the</w:t>
      </w:r>
      <w:proofErr w:type="spellEnd"/>
      <w:r w:rsidR="0097759D" w:rsidRPr="00FA5439">
        <w:rPr>
          <w:i/>
        </w:rPr>
        <w:t xml:space="preserve"> </w:t>
      </w:r>
      <w:proofErr w:type="spellStart"/>
      <w:r w:rsidR="0097759D" w:rsidRPr="00FA5439">
        <w:rPr>
          <w:i/>
        </w:rPr>
        <w:t>European</w:t>
      </w:r>
      <w:proofErr w:type="spellEnd"/>
      <w:r w:rsidR="0097759D" w:rsidRPr="00FA5439">
        <w:rPr>
          <w:i/>
        </w:rPr>
        <w:t xml:space="preserve"> </w:t>
      </w:r>
      <w:proofErr w:type="spellStart"/>
      <w:r w:rsidR="0097759D" w:rsidRPr="00FA5439">
        <w:rPr>
          <w:i/>
        </w:rPr>
        <w:t>Commission</w:t>
      </w:r>
      <w:proofErr w:type="spellEnd"/>
      <w:r w:rsidR="0097759D">
        <w:rPr>
          <w:i/>
        </w:rPr>
        <w:t>.</w:t>
      </w:r>
    </w:p>
    <w:p w:rsidR="0097759D" w:rsidRDefault="0097759D" w:rsidP="0097759D">
      <w:pPr>
        <w:jc w:val="both"/>
        <w:rPr>
          <w:noProof/>
        </w:rPr>
      </w:pPr>
      <w:r>
        <w:rPr>
          <w:i/>
        </w:rPr>
        <w:t xml:space="preserve"> </w:t>
      </w:r>
      <w:hyperlink r:id="rId7" w:history="1">
        <w:r w:rsidRPr="00133812">
          <w:rPr>
            <w:rStyle w:val="Hyperlink"/>
            <w:i/>
          </w:rPr>
          <w:t>http://marine-litter-conference-berlin.info/userfiles/file/Message%20from%20Berlin.pdf</w:t>
        </w:r>
      </w:hyperlink>
      <w:r>
        <w:rPr>
          <w:i/>
        </w:rPr>
        <w:t xml:space="preserve"> </w:t>
      </w:r>
    </w:p>
    <w:p w:rsidR="0097759D" w:rsidRPr="00983213" w:rsidRDefault="000328EA" w:rsidP="0097759D">
      <w:pPr>
        <w:jc w:val="both"/>
      </w:pPr>
      <w:r>
        <w:rPr>
          <w:lang w:eastAsia="en-GB"/>
        </w:rPr>
        <w:tab/>
      </w:r>
      <w:r w:rsidR="0097759D" w:rsidRPr="00FA5439">
        <w:rPr>
          <w:lang w:eastAsia="en-GB"/>
        </w:rPr>
        <w:t xml:space="preserve">Latvijā līdz šim nav veikti zinātniskie pētījumi saistībā ar </w:t>
      </w:r>
      <w:r w:rsidR="0097759D" w:rsidRPr="00FA5439">
        <w:rPr>
          <w:noProof/>
        </w:rPr>
        <w:t xml:space="preserve">jūru piesārņojošo atkritumu (marine litter) </w:t>
      </w:r>
      <w:r w:rsidR="0097759D">
        <w:rPr>
          <w:noProof/>
        </w:rPr>
        <w:t xml:space="preserve">daudzumu, </w:t>
      </w:r>
      <w:r w:rsidR="0097759D" w:rsidRPr="00FA5439">
        <w:rPr>
          <w:noProof/>
        </w:rPr>
        <w:t>īpašībām un mikrodaļiņu (jo īpaši mikroplastikāta vai nanoplastikas) bioloģisko ietekmi</w:t>
      </w:r>
      <w:r w:rsidR="0097759D">
        <w:rPr>
          <w:noProof/>
        </w:rPr>
        <w:t xml:space="preserve"> uz dzīvajiem organismiem</w:t>
      </w:r>
      <w:r w:rsidR="0097759D" w:rsidRPr="00FA5439">
        <w:rPr>
          <w:noProof/>
        </w:rPr>
        <w:t>.</w:t>
      </w:r>
      <w:r w:rsidR="0097759D" w:rsidRPr="00FA5439">
        <w:t xml:space="preserve"> Atsevišķu projektu </w:t>
      </w:r>
      <w:r w:rsidR="0097759D">
        <w:t xml:space="preserve">(MARLIN, kā arī EK pilotprojekta </w:t>
      </w:r>
      <w:r w:rsidR="0097759D" w:rsidRPr="00983213">
        <w:t>plastmasas atkritumu problemātikas apzināšanai 4 Eiropas jūrās</w:t>
      </w:r>
      <w:r w:rsidR="0097759D">
        <w:t xml:space="preserve"> ar apsekojuma teritoriju </w:t>
      </w:r>
      <w:r w:rsidR="0097759D" w:rsidRPr="00FD04FF">
        <w:rPr>
          <w:rFonts w:ascii="TimesNewRomanPSMT" w:hAnsi="TimesNewRomanPSMT" w:cs="TimesNewRomanPSMT"/>
        </w:rPr>
        <w:t>Rīga</w:t>
      </w:r>
      <w:r w:rsidR="0097759D">
        <w:rPr>
          <w:rFonts w:ascii="TimesNewRomanPSMT" w:hAnsi="TimesNewRomanPSMT" w:cs="TimesNewRomanPSMT"/>
        </w:rPr>
        <w:t xml:space="preserve"> </w:t>
      </w:r>
      <w:r w:rsidR="0097759D" w:rsidRPr="00FD04FF">
        <w:rPr>
          <w:rFonts w:ascii="TimesNewRomanPSMT" w:hAnsi="TimesNewRomanPSMT" w:cs="TimesNewRomanPSMT"/>
        </w:rPr>
        <w:t>(Vakarbuļ</w:t>
      </w:r>
      <w:r w:rsidR="0097759D">
        <w:rPr>
          <w:rFonts w:ascii="TimesNewRomanPSMT" w:hAnsi="TimesNewRomanPSMT" w:cs="TimesNewRomanPSMT"/>
        </w:rPr>
        <w:t>ļ</w:t>
      </w:r>
      <w:r w:rsidR="0097759D" w:rsidRPr="00FD04FF">
        <w:rPr>
          <w:rFonts w:ascii="TimesNewRomanPSMT" w:hAnsi="TimesNewRomanPSMT" w:cs="TimesNewRomanPSMT"/>
        </w:rPr>
        <w:t>i/</w:t>
      </w:r>
      <w:r w:rsidR="0097759D">
        <w:rPr>
          <w:rFonts w:ascii="TimesNewRomanPSMT" w:hAnsi="TimesNewRomanPSMT" w:cs="TimesNewRomanPSMT"/>
        </w:rPr>
        <w:t xml:space="preserve"> </w:t>
      </w:r>
      <w:r w:rsidR="0097759D" w:rsidRPr="00FD04FF">
        <w:rPr>
          <w:rFonts w:ascii="TimesNewRomanPSMT" w:hAnsi="TimesNewRomanPSMT" w:cs="TimesNewRomanPSMT"/>
        </w:rPr>
        <w:t>Daugavgr</w:t>
      </w:r>
      <w:r w:rsidR="0097759D">
        <w:rPr>
          <w:rFonts w:ascii="TimesNewRomanPSMT" w:hAnsi="TimesNewRomanPSMT" w:cs="TimesNewRomanPSMT"/>
        </w:rPr>
        <w:t>ī</w:t>
      </w:r>
      <w:r w:rsidR="0097759D" w:rsidRPr="00FD04FF">
        <w:rPr>
          <w:rFonts w:ascii="TimesNewRomanPSMT" w:hAnsi="TimesNewRomanPSMT" w:cs="TimesNewRomanPSMT"/>
        </w:rPr>
        <w:t>va</w:t>
      </w:r>
      <w:r w:rsidR="0097759D">
        <w:t xml:space="preserve">) </w:t>
      </w:r>
      <w:r w:rsidR="0097759D" w:rsidRPr="00FA5439">
        <w:t>ietvaros mēģināts apzināt, galvenokārt, no jūras izskaloto atkritumu</w:t>
      </w:r>
      <w:r w:rsidR="0097759D">
        <w:t xml:space="preserve">, veidu un </w:t>
      </w:r>
      <w:r w:rsidR="0097759D" w:rsidRPr="00FA5439">
        <w:t xml:space="preserve">problēmas apmēru. </w:t>
      </w:r>
      <w:r w:rsidR="0097759D" w:rsidRPr="00983213">
        <w:t>Lai apzinātu problēmas aktualitāti Baltijas jūrai, 2006.gadā tika īstenots ANO Vides programmas UNEP un Helsinku komisijas (HELCOM) kopīgs projekts. Secinājums: Baltijas jūrai šobrīd tā vēl nav „degoša” problēma, tomēr izpēte jāturpina un jāveic piesardzības pasākumi. Tika secināts, ka visvairāk ir plastmasas atkritumu (30-60% pēc skaita un svara). Lielāks daudzums ir tuvāk izcelsmes avotiem (kuģu ceļiem, upēm, pludmalēs). Projekta ietvaros izstrādāja datu vākšanas metodiku par jūras atkritumu pludmales monitoringu.</w:t>
      </w:r>
      <w:r w:rsidR="0097759D">
        <w:t xml:space="preserve"> Šī metodika tika izmantota MARLIN projekta ietvaros. </w:t>
      </w:r>
    </w:p>
    <w:p w:rsidR="0097759D" w:rsidRPr="00E555C4" w:rsidRDefault="009E65F8" w:rsidP="0097759D">
      <w:pPr>
        <w:jc w:val="both"/>
        <w:rPr>
          <w:b/>
          <w:i/>
          <w:sz w:val="28"/>
          <w:szCs w:val="28"/>
        </w:rPr>
      </w:pPr>
      <w:r>
        <w:tab/>
      </w:r>
      <w:r w:rsidR="0097759D">
        <w:t>L</w:t>
      </w:r>
      <w:r w:rsidR="0097759D" w:rsidRPr="00FA5439">
        <w:t>ai atbalstītu</w:t>
      </w:r>
      <w:r w:rsidR="0097759D" w:rsidRPr="00FA5439">
        <w:rPr>
          <w:noProof/>
        </w:rPr>
        <w:t xml:space="preserve"> Jūras stratēģijas pamatdirektīvas ieviešanu,</w:t>
      </w:r>
      <w:r w:rsidR="0097759D" w:rsidRPr="00FA5439">
        <w:t xml:space="preserve"> reģionālo jūru komisijas, piemēram, HELCOM Baltijas jūras reģionā, ir apņēmušās strādāt ar šo jautājumu, izstrādājot reģionāl</w:t>
      </w:r>
      <w:r w:rsidR="0097759D">
        <w:t>o</w:t>
      </w:r>
      <w:r w:rsidR="0097759D" w:rsidRPr="00FA5439">
        <w:t xml:space="preserve">s </w:t>
      </w:r>
      <w:r w:rsidR="0097759D">
        <w:t>rīcības plānus</w:t>
      </w:r>
      <w:r w:rsidR="0097759D" w:rsidRPr="00FA5439">
        <w:t xml:space="preserve"> problēmas apzināšanai un turpmākajiem pasākumiem, piemēram, lai mazinātu </w:t>
      </w:r>
      <w:r w:rsidR="0097759D" w:rsidRPr="00FA5439">
        <w:rPr>
          <w:noProof/>
        </w:rPr>
        <w:t>mikrodaļiņu nonākšanau notekūdeņu attīrīšanas iekārtās, veicinātu zvejniecībā un kuģošanā radīto atkritumu nodošanu krastā</w:t>
      </w:r>
      <w:r w:rsidR="0097759D">
        <w:rPr>
          <w:noProof/>
        </w:rPr>
        <w:t>, monitoringa īstenošanu upju baseinu griezumā u.c.</w:t>
      </w:r>
    </w:p>
    <w:p w:rsidR="00D605D4" w:rsidRPr="00D605D4" w:rsidRDefault="00D605D4" w:rsidP="00D605D4">
      <w:pPr>
        <w:jc w:val="both"/>
        <w:rPr>
          <w:b/>
        </w:rPr>
      </w:pPr>
    </w:p>
    <w:p w:rsidR="004E33C4" w:rsidRPr="008F2DE3" w:rsidRDefault="00D605D4" w:rsidP="00D605D4">
      <w:pPr>
        <w:jc w:val="both"/>
        <w:rPr>
          <w:b/>
          <w:sz w:val="28"/>
          <w:szCs w:val="28"/>
        </w:rPr>
      </w:pPr>
      <w:r w:rsidRPr="008F2DE3">
        <w:rPr>
          <w:b/>
          <w:sz w:val="28"/>
          <w:szCs w:val="28"/>
        </w:rPr>
        <w:t xml:space="preserve">e) </w:t>
      </w:r>
      <w:r w:rsidR="008F2DE3" w:rsidRPr="008F2DE3">
        <w:rPr>
          <w:b/>
          <w:sz w:val="28"/>
          <w:szCs w:val="28"/>
        </w:rPr>
        <w:t xml:space="preserve">gaidāmais Budapeštas samits par ūdens jautājumiem (2013. gada 8.–10. oktobris) </w:t>
      </w:r>
      <w:r w:rsidRPr="008F2DE3">
        <w:rPr>
          <w:b/>
          <w:sz w:val="28"/>
          <w:szCs w:val="28"/>
        </w:rPr>
        <w:t>(</w:t>
      </w:r>
      <w:r w:rsidRPr="008F2DE3">
        <w:rPr>
          <w:b/>
          <w:i/>
          <w:sz w:val="28"/>
          <w:szCs w:val="28"/>
        </w:rPr>
        <w:t xml:space="preserve">Ungārijas </w:t>
      </w:r>
      <w:r w:rsidR="008F2DE3" w:rsidRPr="008F2DE3">
        <w:rPr>
          <w:b/>
          <w:i/>
          <w:sz w:val="28"/>
          <w:szCs w:val="28"/>
        </w:rPr>
        <w:t>delegācijas sniegta informācija</w:t>
      </w:r>
      <w:r w:rsidRPr="008F2DE3">
        <w:rPr>
          <w:b/>
          <w:sz w:val="28"/>
          <w:szCs w:val="28"/>
        </w:rPr>
        <w:t>)</w:t>
      </w:r>
    </w:p>
    <w:p w:rsidR="007D0917" w:rsidRDefault="000A5F00" w:rsidP="00D605D4">
      <w:pPr>
        <w:jc w:val="both"/>
      </w:pPr>
      <w:r w:rsidRPr="000A5F00">
        <w:tab/>
      </w:r>
      <w:r w:rsidR="00E70E2B">
        <w:rPr>
          <w:i/>
        </w:rPr>
        <w:t>Sagaidāms</w:t>
      </w:r>
      <w:r w:rsidR="007D0917" w:rsidRPr="000D09C7">
        <w:rPr>
          <w:i/>
        </w:rPr>
        <w:t xml:space="preserve">, ka Ungārija </w:t>
      </w:r>
      <w:r w:rsidR="007A1272">
        <w:rPr>
          <w:i/>
        </w:rPr>
        <w:t xml:space="preserve">informēs par </w:t>
      </w:r>
      <w:r w:rsidR="007D0917" w:rsidRPr="000D09C7">
        <w:rPr>
          <w:i/>
        </w:rPr>
        <w:t xml:space="preserve">Budapeštas </w:t>
      </w:r>
      <w:r w:rsidR="007A1272">
        <w:rPr>
          <w:i/>
        </w:rPr>
        <w:t>samita par ūdens jautājumiem</w:t>
      </w:r>
      <w:r w:rsidR="007D0917" w:rsidRPr="000D09C7">
        <w:rPr>
          <w:i/>
        </w:rPr>
        <w:t xml:space="preserve"> darba kārtību</w:t>
      </w:r>
      <w:r w:rsidR="007D0917" w:rsidRPr="000A5F00">
        <w:t>.</w:t>
      </w:r>
    </w:p>
    <w:p w:rsidR="00D605D4" w:rsidRPr="000A5F00" w:rsidRDefault="007D0917" w:rsidP="00D605D4">
      <w:pPr>
        <w:jc w:val="both"/>
      </w:pPr>
      <w:r>
        <w:tab/>
      </w:r>
      <w:r w:rsidR="00D605D4" w:rsidRPr="000A5F00">
        <w:t xml:space="preserve">Ungārija tās prezidentūras </w:t>
      </w:r>
      <w:r w:rsidR="00646F01">
        <w:t>laikā</w:t>
      </w:r>
      <w:r w:rsidR="00646F01" w:rsidRPr="000A5F00">
        <w:t xml:space="preserve"> </w:t>
      </w:r>
      <w:r w:rsidR="00D605D4" w:rsidRPr="000A5F00">
        <w:t>ES Padomē 2011.gadā</w:t>
      </w:r>
      <w:r w:rsidR="009F39BC">
        <w:t xml:space="preserve"> </w:t>
      </w:r>
      <w:r w:rsidR="00801917" w:rsidRPr="000A5F00">
        <w:t>un uz Rio+20 konferenci</w:t>
      </w:r>
      <w:r w:rsidR="00D605D4" w:rsidRPr="000A5F00">
        <w:t xml:space="preserve"> izvirzīja ūdens jautājumus kā prioritārus iekšējā un ārējā Eiropas Savienības politikā, popularizējot ūdens jautājumu starptautiskajā attīstības sadarbībā. Ungārija turpina sadarboties ar ES dalībvalst</w:t>
      </w:r>
      <w:r w:rsidR="00801917" w:rsidRPr="000A5F00">
        <w:t xml:space="preserve">īm, veidojot vienotu izpratni par pašreizējām ar ūdeni saistītām </w:t>
      </w:r>
      <w:r w:rsidR="00801917" w:rsidRPr="00556788">
        <w:t>problēmām.</w:t>
      </w:r>
      <w:r w:rsidR="000A5F00" w:rsidRPr="00556788">
        <w:t xml:space="preserve"> Akcentējot ūdens jautājuma aktualitāti arī pēc Rio+20, Ungārijas prezidents </w:t>
      </w:r>
      <w:proofErr w:type="spellStart"/>
      <w:r w:rsidR="000A5F00" w:rsidRPr="00556788">
        <w:rPr>
          <w:rStyle w:val="hps"/>
        </w:rPr>
        <w:t>János</w:t>
      </w:r>
      <w:proofErr w:type="spellEnd"/>
      <w:r w:rsidR="000A5F00" w:rsidRPr="00556788">
        <w:t xml:space="preserve"> </w:t>
      </w:r>
      <w:proofErr w:type="spellStart"/>
      <w:r w:rsidR="000A5F00" w:rsidRPr="00556788">
        <w:rPr>
          <w:rStyle w:val="hps"/>
        </w:rPr>
        <w:t>Áder</w:t>
      </w:r>
      <w:proofErr w:type="spellEnd"/>
      <w:r w:rsidR="000A5F00" w:rsidRPr="00556788">
        <w:rPr>
          <w:rStyle w:val="hps"/>
        </w:rPr>
        <w:t xml:space="preserve"> </w:t>
      </w:r>
      <w:r w:rsidR="000A5F00" w:rsidRPr="00556788">
        <w:t>ir paziņojis par nodomu organizēt starptautisku konferenci ANO aizbildnībā 2013.gadā Budapeštā. Šis samits ir daļa no ANO Starptautiskā ūdens sadarbības gada</w:t>
      </w:r>
      <w:r w:rsidR="000A5F00" w:rsidRPr="000A5F00">
        <w:t xml:space="preserve"> pasākumiem, ko vada UNESCO.</w:t>
      </w:r>
    </w:p>
    <w:p w:rsidR="00621019" w:rsidRDefault="000A5F00" w:rsidP="00D605D4">
      <w:pPr>
        <w:jc w:val="both"/>
        <w:rPr>
          <w:b/>
          <w:color w:val="000000"/>
        </w:rPr>
      </w:pPr>
      <w:r w:rsidRPr="000A5F00">
        <w:tab/>
      </w:r>
    </w:p>
    <w:p w:rsidR="00621019" w:rsidRPr="008F2DE3" w:rsidRDefault="00621019" w:rsidP="00621019">
      <w:pPr>
        <w:jc w:val="both"/>
        <w:rPr>
          <w:b/>
          <w:sz w:val="28"/>
          <w:szCs w:val="28"/>
          <w:lang w:eastAsia="fr-BE"/>
        </w:rPr>
      </w:pPr>
      <w:r w:rsidRPr="008F2DE3">
        <w:rPr>
          <w:b/>
          <w:sz w:val="28"/>
          <w:szCs w:val="28"/>
        </w:rPr>
        <w:lastRenderedPageBreak/>
        <w:t xml:space="preserve">f) </w:t>
      </w:r>
      <w:r w:rsidR="008F2DE3" w:rsidRPr="008F2DE3">
        <w:rPr>
          <w:b/>
          <w:sz w:val="28"/>
          <w:szCs w:val="28"/>
        </w:rPr>
        <w:t>nākamās prezidentvalsts darba programma</w:t>
      </w:r>
      <w:r w:rsidR="008F2DE3" w:rsidRPr="008F2DE3">
        <w:rPr>
          <w:b/>
          <w:i/>
          <w:sz w:val="28"/>
          <w:szCs w:val="28"/>
        </w:rPr>
        <w:t xml:space="preserve"> </w:t>
      </w:r>
      <w:r w:rsidRPr="008F2DE3">
        <w:rPr>
          <w:b/>
          <w:i/>
          <w:sz w:val="28"/>
          <w:szCs w:val="28"/>
        </w:rPr>
        <w:t>(Lietuvas delegācijas</w:t>
      </w:r>
      <w:r w:rsidR="008F2DE3" w:rsidRPr="008F2DE3">
        <w:rPr>
          <w:b/>
          <w:i/>
          <w:sz w:val="28"/>
          <w:szCs w:val="28"/>
        </w:rPr>
        <w:t xml:space="preserve"> sniegta informācija</w:t>
      </w:r>
      <w:r w:rsidRPr="008F2DE3">
        <w:rPr>
          <w:b/>
          <w:i/>
          <w:sz w:val="28"/>
          <w:szCs w:val="28"/>
        </w:rPr>
        <w:t>)</w:t>
      </w:r>
    </w:p>
    <w:p w:rsidR="00621019" w:rsidRPr="00546BA3" w:rsidRDefault="00621019" w:rsidP="00621019">
      <w:pPr>
        <w:ind w:firstLine="709"/>
        <w:jc w:val="both"/>
        <w:rPr>
          <w:i/>
        </w:rPr>
      </w:pPr>
      <w:r w:rsidRPr="00546BA3">
        <w:rPr>
          <w:i/>
        </w:rPr>
        <w:t xml:space="preserve">Sanāksmes laikā Lietuvas delegācija iepazīstinās ar nākamās prezidentūras darba </w:t>
      </w:r>
      <w:r w:rsidR="008F2DE3">
        <w:rPr>
          <w:i/>
        </w:rPr>
        <w:t>programmas</w:t>
      </w:r>
      <w:r w:rsidRPr="00546BA3">
        <w:rPr>
          <w:i/>
        </w:rPr>
        <w:t xml:space="preserve"> jautājumiem.</w:t>
      </w:r>
    </w:p>
    <w:p w:rsidR="00E22357" w:rsidRPr="007C2228" w:rsidRDefault="00621019" w:rsidP="00621019">
      <w:pPr>
        <w:ind w:firstLine="709"/>
        <w:jc w:val="both"/>
      </w:pPr>
      <w:r w:rsidRPr="007C2228">
        <w:rPr>
          <w:lang w:eastAsia="fr-BE"/>
        </w:rPr>
        <w:t>2013.gada jūlijā Īrijas prezidentūru ES Padomē nomainīs Lietuvas prezidentūra, kas</w:t>
      </w:r>
      <w:r w:rsidR="00C14B36" w:rsidRPr="007C2228">
        <w:rPr>
          <w:lang w:eastAsia="fr-BE"/>
        </w:rPr>
        <w:t xml:space="preserve"> tajā skaitā</w:t>
      </w:r>
      <w:r w:rsidRPr="007C2228">
        <w:rPr>
          <w:lang w:eastAsia="fr-BE"/>
        </w:rPr>
        <w:t xml:space="preserve"> </w:t>
      </w:r>
      <w:r w:rsidR="00E22357" w:rsidRPr="007C2228">
        <w:rPr>
          <w:lang w:eastAsia="fr-BE"/>
        </w:rPr>
        <w:t>turpinās darbu pie jau aizsāktajiem jautājumiem</w:t>
      </w:r>
      <w:r w:rsidR="00DC1063" w:rsidRPr="007C2228">
        <w:rPr>
          <w:lang w:eastAsia="fr-BE"/>
        </w:rPr>
        <w:t xml:space="preserve"> </w:t>
      </w:r>
      <w:r w:rsidR="00E22357" w:rsidRPr="007C2228">
        <w:rPr>
          <w:lang w:eastAsia="fr-BE"/>
        </w:rPr>
        <w:t>(</w:t>
      </w:r>
      <w:proofErr w:type="spellStart"/>
      <w:r w:rsidR="00AE6D22">
        <w:rPr>
          <w:lang w:eastAsia="fr-BE"/>
        </w:rPr>
        <w:t>f</w:t>
      </w:r>
      <w:r w:rsidR="00BF3D62" w:rsidRPr="007C2228">
        <w:t>luorēto</w:t>
      </w:r>
      <w:proofErr w:type="spellEnd"/>
      <w:r w:rsidR="00BF3D62" w:rsidRPr="007C2228">
        <w:t xml:space="preserve"> gāzu regula, ILUC, emisiju tirdzniecības sistēma, </w:t>
      </w:r>
      <w:proofErr w:type="spellStart"/>
      <w:r w:rsidR="00BF3D62" w:rsidRPr="007C2228">
        <w:t>biodaudzveidība</w:t>
      </w:r>
      <w:proofErr w:type="spellEnd"/>
      <w:r w:rsidR="00BF3D62" w:rsidRPr="007C2228">
        <w:t xml:space="preserve">, </w:t>
      </w:r>
      <w:r w:rsidR="00C14B36" w:rsidRPr="007C2228">
        <w:t>direktīva par jūras telpisko plānošanu, kuģu pārstrādes direktīva</w:t>
      </w:r>
      <w:r w:rsidR="007C2228" w:rsidRPr="007C2228">
        <w:t>, LIFE regula</w:t>
      </w:r>
      <w:r w:rsidR="00C14B36" w:rsidRPr="007C2228">
        <w:t xml:space="preserve">), plāno ierosināt priekšlikumus </w:t>
      </w:r>
      <w:r w:rsidR="00AE6D22">
        <w:t>a</w:t>
      </w:r>
      <w:r w:rsidR="00C14B36" w:rsidRPr="007C2228">
        <w:t>tkritumu pārvadājumu regulas grozījumiem un iepakojumu atkritumu direktīvas grozījum</w:t>
      </w:r>
      <w:r w:rsidR="00AE6D22">
        <w:t>am</w:t>
      </w:r>
      <w:r w:rsidR="00C14B36" w:rsidRPr="007C2228">
        <w:t xml:space="preserve"> par plastmasas maisiņiem – ieviest jaunu pantu, kas noteiktu pasākumus un varbūt mērķus plastmasas maisiņu atkritumu mazināšanai</w:t>
      </w:r>
      <w:r w:rsidR="007C2228" w:rsidRPr="007C2228">
        <w:t>, kā arī sākt diskusij</w:t>
      </w:r>
      <w:r w:rsidR="00AE6D22">
        <w:t>as par gaisa kvalitātes pakotni, u.c.</w:t>
      </w:r>
      <w:r w:rsidR="00BF3D62" w:rsidRPr="007C2228">
        <w:t xml:space="preserve"> </w:t>
      </w:r>
    </w:p>
    <w:p w:rsidR="00E22357" w:rsidRDefault="00E22357" w:rsidP="00621019">
      <w:pPr>
        <w:ind w:firstLine="709"/>
        <w:jc w:val="both"/>
      </w:pPr>
    </w:p>
    <w:p w:rsidR="00C73079" w:rsidRPr="00546BA3" w:rsidRDefault="00C73079" w:rsidP="00293E75">
      <w:pPr>
        <w:ind w:left="142"/>
        <w:jc w:val="both"/>
      </w:pPr>
    </w:p>
    <w:p w:rsidR="00B7472F" w:rsidRPr="00E555C4" w:rsidRDefault="00B7472F" w:rsidP="00B7472F">
      <w:pPr>
        <w:jc w:val="both"/>
      </w:pPr>
      <w:r w:rsidRPr="00E555C4">
        <w:rPr>
          <w:b/>
        </w:rPr>
        <w:t>Latvijas delegācija</w:t>
      </w:r>
      <w:r w:rsidRPr="00E555C4">
        <w:t>:</w:t>
      </w:r>
    </w:p>
    <w:p w:rsidR="00B7472F" w:rsidRPr="00E555C4" w:rsidRDefault="00B7472F" w:rsidP="007B2E76">
      <w:pPr>
        <w:tabs>
          <w:tab w:val="left" w:pos="2835"/>
        </w:tabs>
        <w:jc w:val="both"/>
      </w:pPr>
      <w:r w:rsidRPr="00E555C4">
        <w:t>Delegācijas vadītāji -</w:t>
      </w:r>
      <w:r w:rsidR="007B2E76" w:rsidRPr="00E555C4">
        <w:t xml:space="preserve"> </w:t>
      </w:r>
      <w:r w:rsidR="007B2E76" w:rsidRPr="00E555C4">
        <w:tab/>
      </w:r>
      <w:r w:rsidR="00B7628C">
        <w:rPr>
          <w:b/>
        </w:rPr>
        <w:t>Aleksandrs Antonovs</w:t>
      </w:r>
      <w:r w:rsidRPr="00E555C4">
        <w:t xml:space="preserve">, </w:t>
      </w:r>
      <w:r w:rsidR="00B7628C">
        <w:t>V</w:t>
      </w:r>
      <w:r w:rsidRPr="00E555C4">
        <w:t xml:space="preserve">ides aizsardzības un reģionālās </w:t>
      </w:r>
      <w:r w:rsidR="00B7628C">
        <w:tab/>
        <w:t>attīstības ministrijas valsts sekretārs</w:t>
      </w:r>
      <w:r w:rsidRPr="00E555C4">
        <w:t xml:space="preserve"> </w:t>
      </w:r>
    </w:p>
    <w:p w:rsidR="00EE18F6" w:rsidRPr="00E555C4" w:rsidRDefault="00EE18F6" w:rsidP="00B7472F">
      <w:pPr>
        <w:tabs>
          <w:tab w:val="left" w:pos="3686"/>
        </w:tabs>
        <w:jc w:val="both"/>
      </w:pPr>
    </w:p>
    <w:p w:rsidR="00876A8C" w:rsidRDefault="00B7472F" w:rsidP="007B2E76">
      <w:pPr>
        <w:jc w:val="both"/>
      </w:pPr>
      <w:r w:rsidRPr="00E555C4">
        <w:t>Delegācijas dalībnieki -</w:t>
      </w:r>
      <w:r w:rsidRPr="00E555C4">
        <w:tab/>
      </w:r>
      <w:r w:rsidR="00B7628C">
        <w:rPr>
          <w:b/>
        </w:rPr>
        <w:t>Ilze Prūse</w:t>
      </w:r>
      <w:r w:rsidR="007B2E76" w:rsidRPr="00E555C4">
        <w:t xml:space="preserve">, </w:t>
      </w:r>
      <w:r w:rsidR="00B7628C">
        <w:t>V</w:t>
      </w:r>
      <w:r w:rsidR="007B2E76" w:rsidRPr="00E555C4">
        <w:t xml:space="preserve">ides aizsardzības un reģionālās attīstības </w:t>
      </w:r>
      <w:r w:rsidR="007B2E76" w:rsidRPr="00E555C4">
        <w:tab/>
      </w:r>
      <w:r w:rsidR="007B2E76" w:rsidRPr="00E555C4">
        <w:tab/>
      </w:r>
      <w:r w:rsidR="007B2E76" w:rsidRPr="00E555C4">
        <w:tab/>
      </w:r>
      <w:r w:rsidR="007B2E76" w:rsidRPr="00E555C4">
        <w:tab/>
      </w:r>
      <w:r w:rsidR="007B2E76" w:rsidRPr="00E555C4">
        <w:tab/>
        <w:t>ministr</w:t>
      </w:r>
      <w:r w:rsidR="00B7628C">
        <w:t xml:space="preserve">ijas Klimata un vides politikas integrācijas departamenta </w:t>
      </w:r>
      <w:r w:rsidR="00B7628C">
        <w:tab/>
      </w:r>
      <w:r w:rsidR="00B7628C">
        <w:tab/>
      </w:r>
      <w:r w:rsidR="00B7628C">
        <w:tab/>
      </w:r>
      <w:r w:rsidR="00B7628C">
        <w:tab/>
        <w:t>direktore</w:t>
      </w:r>
    </w:p>
    <w:p w:rsidR="009059D8" w:rsidRDefault="00876A8C" w:rsidP="009059D8">
      <w:pPr>
        <w:jc w:val="both"/>
      </w:pPr>
      <w:r>
        <w:tab/>
      </w:r>
      <w:r>
        <w:tab/>
      </w:r>
      <w:r>
        <w:tab/>
      </w:r>
      <w:r>
        <w:tab/>
      </w:r>
      <w:r w:rsidR="009059D8">
        <w:rPr>
          <w:b/>
        </w:rPr>
        <w:t>Anita Dr</w:t>
      </w:r>
      <w:r w:rsidR="008E533C">
        <w:rPr>
          <w:b/>
        </w:rPr>
        <w:t>o</w:t>
      </w:r>
      <w:r w:rsidR="009059D8">
        <w:rPr>
          <w:b/>
        </w:rPr>
        <w:t xml:space="preserve">ndina, </w:t>
      </w:r>
      <w:r w:rsidR="009059D8" w:rsidRPr="00E555C4">
        <w:t xml:space="preserve">Vides un reģionālās attīstības ministrijas </w:t>
      </w:r>
      <w:r w:rsidR="009059D8" w:rsidRPr="00E555C4">
        <w:tab/>
      </w:r>
      <w:r w:rsidR="009059D8" w:rsidRPr="00E555C4">
        <w:tab/>
      </w:r>
      <w:r w:rsidR="009059D8" w:rsidRPr="00E555C4">
        <w:tab/>
      </w:r>
      <w:r w:rsidR="009059D8" w:rsidRPr="00E555C4">
        <w:tab/>
      </w:r>
      <w:r w:rsidR="009059D8" w:rsidRPr="00E555C4">
        <w:tab/>
        <w:t>nozares padomniece, pastāvīgais atašejs Briselē</w:t>
      </w:r>
      <w:r w:rsidR="009059D8">
        <w:t>,</w:t>
      </w:r>
    </w:p>
    <w:p w:rsidR="009059D8" w:rsidRPr="00E555C4" w:rsidRDefault="009059D8" w:rsidP="009059D8">
      <w:pPr>
        <w:jc w:val="both"/>
      </w:pPr>
      <w:r>
        <w:tab/>
      </w:r>
      <w:r>
        <w:tab/>
      </w:r>
      <w:r>
        <w:tab/>
      </w:r>
      <w:r>
        <w:tab/>
      </w:r>
      <w:r w:rsidRPr="009059D8">
        <w:rPr>
          <w:b/>
        </w:rPr>
        <w:t>Evita Stanga</w:t>
      </w:r>
      <w:r>
        <w:t xml:space="preserve">, </w:t>
      </w:r>
      <w:r w:rsidRPr="00E555C4">
        <w:t xml:space="preserve">Vides un reģionālās attīstības ministrijas </w:t>
      </w:r>
      <w:r w:rsidRPr="00E555C4">
        <w:tab/>
      </w:r>
      <w:r w:rsidRPr="00E555C4">
        <w:tab/>
      </w:r>
      <w:r w:rsidRPr="00E555C4">
        <w:tab/>
      </w:r>
      <w:r w:rsidRPr="00E555C4">
        <w:tab/>
      </w:r>
      <w:r w:rsidRPr="00E555C4">
        <w:tab/>
        <w:t>nozares padomniece, pastāvīgais atašejs Briselē</w:t>
      </w:r>
      <w:r>
        <w:t>,</w:t>
      </w:r>
    </w:p>
    <w:p w:rsidR="00BE7B5D" w:rsidRDefault="009059D8" w:rsidP="009059D8">
      <w:pPr>
        <w:jc w:val="both"/>
      </w:pPr>
      <w:r w:rsidRPr="00E555C4">
        <w:rPr>
          <w:b/>
        </w:rPr>
        <w:tab/>
      </w:r>
      <w:r w:rsidRPr="00E555C4">
        <w:rPr>
          <w:b/>
        </w:rPr>
        <w:tab/>
      </w:r>
      <w:r w:rsidRPr="00E555C4">
        <w:rPr>
          <w:b/>
        </w:rPr>
        <w:tab/>
      </w:r>
      <w:r w:rsidRPr="00E555C4">
        <w:rPr>
          <w:b/>
        </w:rPr>
        <w:tab/>
        <w:t>Aija Timofejeva</w:t>
      </w:r>
      <w:r w:rsidRPr="00E555C4">
        <w:t xml:space="preserve">, Vides un reģionālās attīstības ministrijas </w:t>
      </w:r>
      <w:r w:rsidRPr="00E555C4">
        <w:tab/>
      </w:r>
      <w:r w:rsidRPr="00E555C4">
        <w:tab/>
      </w:r>
      <w:r w:rsidRPr="00E555C4">
        <w:tab/>
      </w:r>
      <w:r w:rsidRPr="00E555C4">
        <w:tab/>
      </w:r>
      <w:r w:rsidRPr="00E555C4">
        <w:tab/>
        <w:t>nozares padomniece, pastāvīgais atašejs Briselē</w:t>
      </w:r>
      <w:r w:rsidR="00BE7B5D">
        <w:t>,</w:t>
      </w:r>
    </w:p>
    <w:p w:rsidR="00BE7B5D" w:rsidRDefault="00BE7B5D" w:rsidP="00BE7B5D">
      <w:pPr>
        <w:ind w:left="2835"/>
        <w:jc w:val="both"/>
      </w:pPr>
      <w:r w:rsidRPr="004D3E90">
        <w:rPr>
          <w:b/>
        </w:rPr>
        <w:t xml:space="preserve">Juris </w:t>
      </w:r>
      <w:proofErr w:type="spellStart"/>
      <w:r w:rsidRPr="004D3E90">
        <w:rPr>
          <w:b/>
        </w:rPr>
        <w:t>Štālmeistars</w:t>
      </w:r>
      <w:proofErr w:type="spellEnd"/>
      <w:r w:rsidRPr="00546C58">
        <w:t>, vēstnieks, Latvijas Republikas Pastāvīgā pārstāvja vietnieks Eiropas Savienībā;</w:t>
      </w:r>
    </w:p>
    <w:p w:rsidR="00876A8C" w:rsidRPr="00876A8C" w:rsidRDefault="00BE7B5D" w:rsidP="00BE7B5D">
      <w:pPr>
        <w:jc w:val="both"/>
      </w:pPr>
      <w:r>
        <w:rPr>
          <w:b/>
        </w:rPr>
        <w:tab/>
      </w:r>
      <w:r>
        <w:rPr>
          <w:b/>
        </w:rPr>
        <w:tab/>
      </w:r>
      <w:r>
        <w:rPr>
          <w:b/>
        </w:rPr>
        <w:tab/>
      </w:r>
      <w:r>
        <w:rPr>
          <w:b/>
        </w:rPr>
        <w:tab/>
      </w:r>
      <w:r w:rsidRPr="004D3E90">
        <w:rPr>
          <w:b/>
        </w:rPr>
        <w:t xml:space="preserve">Kaspars </w:t>
      </w:r>
      <w:proofErr w:type="spellStart"/>
      <w:r w:rsidRPr="004D3E90">
        <w:rPr>
          <w:b/>
        </w:rPr>
        <w:t>Krumholcs</w:t>
      </w:r>
      <w:proofErr w:type="spellEnd"/>
      <w:r>
        <w:t>, trešais sekretārs</w:t>
      </w:r>
      <w:r w:rsidRPr="00AB1C5F">
        <w:t xml:space="preserve">, Latvijas Republikas </w:t>
      </w:r>
      <w:r>
        <w:tab/>
      </w:r>
      <w:r>
        <w:tab/>
      </w:r>
      <w:r>
        <w:tab/>
      </w:r>
      <w:r>
        <w:tab/>
      </w:r>
      <w:r w:rsidRPr="00AB1C5F">
        <w:t xml:space="preserve">Pastāvīgā </w:t>
      </w:r>
      <w:r>
        <w:t xml:space="preserve">pārstāvniecība </w:t>
      </w:r>
      <w:r w:rsidRPr="00AB1C5F">
        <w:t>Eiropas Savienībā</w:t>
      </w:r>
      <w:r w:rsidR="00876A8C">
        <w:t>.</w:t>
      </w:r>
    </w:p>
    <w:p w:rsidR="00876A8C" w:rsidRPr="00876A8C" w:rsidRDefault="00876A8C" w:rsidP="00876A8C">
      <w:pPr>
        <w:jc w:val="both"/>
      </w:pPr>
      <w:r w:rsidRPr="00876A8C">
        <w:rPr>
          <w:b/>
        </w:rPr>
        <w:tab/>
      </w:r>
      <w:r w:rsidRPr="00876A8C">
        <w:rPr>
          <w:b/>
        </w:rPr>
        <w:tab/>
      </w:r>
      <w:r w:rsidRPr="00876A8C">
        <w:rPr>
          <w:b/>
        </w:rPr>
        <w:tab/>
      </w:r>
      <w:r w:rsidRPr="00876A8C">
        <w:rPr>
          <w:b/>
        </w:rPr>
        <w:tab/>
      </w:r>
    </w:p>
    <w:p w:rsidR="00140408" w:rsidRDefault="00140408" w:rsidP="00140408">
      <w:pPr>
        <w:ind w:left="567" w:firstLine="567"/>
      </w:pPr>
    </w:p>
    <w:p w:rsidR="00140408" w:rsidRPr="00793018" w:rsidRDefault="00140408" w:rsidP="00825F1B">
      <w:r w:rsidRPr="00793018">
        <w:t>Vides aizsardzības un</w:t>
      </w:r>
    </w:p>
    <w:p w:rsidR="00140408" w:rsidRPr="00793018" w:rsidRDefault="00140408" w:rsidP="00825F1B">
      <w:r w:rsidRPr="00793018">
        <w:t>reģionālās attīstības ministrs</w:t>
      </w:r>
      <w:r w:rsidRPr="00793018">
        <w:tab/>
      </w:r>
      <w:r w:rsidRPr="00793018">
        <w:tab/>
      </w:r>
      <w:r w:rsidRPr="00793018">
        <w:tab/>
      </w:r>
      <w:r w:rsidRPr="00793018">
        <w:tab/>
      </w:r>
      <w:proofErr w:type="gramStart"/>
      <w:r w:rsidRPr="00793018">
        <w:t xml:space="preserve">   </w:t>
      </w:r>
      <w:r w:rsidR="00825F1B">
        <w:t xml:space="preserve">                                  </w:t>
      </w:r>
      <w:r w:rsidRPr="00793018">
        <w:t xml:space="preserve"> </w:t>
      </w:r>
      <w:proofErr w:type="gramEnd"/>
      <w:r w:rsidRPr="00793018">
        <w:t>E.Sprūdžs</w:t>
      </w:r>
    </w:p>
    <w:p w:rsidR="00140408" w:rsidRDefault="00140408" w:rsidP="00825F1B"/>
    <w:p w:rsidR="00140408" w:rsidRPr="00793018" w:rsidRDefault="00140408" w:rsidP="00825F1B">
      <w:r w:rsidRPr="00793018">
        <w:t>Vīza:</w:t>
      </w:r>
    </w:p>
    <w:p w:rsidR="00825F1B" w:rsidRPr="00793018" w:rsidRDefault="00825F1B" w:rsidP="00825F1B">
      <w:r w:rsidRPr="00793018">
        <w:t>Vides aizsardzības un</w:t>
      </w:r>
    </w:p>
    <w:p w:rsidR="00140408" w:rsidRDefault="00825F1B" w:rsidP="00FB1485">
      <w:r w:rsidRPr="00793018">
        <w:t>reģionālās attīstības ministr</w:t>
      </w:r>
      <w:r>
        <w:t>ijas v</w:t>
      </w:r>
      <w:r w:rsidR="00242BC6">
        <w:t>alsts sekretār</w:t>
      </w:r>
      <w:r w:rsidR="00FB1485">
        <w:t>s</w:t>
      </w:r>
      <w:r w:rsidR="00FB1485">
        <w:tab/>
      </w:r>
      <w:r w:rsidR="00FB1485">
        <w:tab/>
      </w:r>
      <w:r w:rsidR="00FB1485">
        <w:tab/>
      </w:r>
      <w:r w:rsidR="00FB1485">
        <w:tab/>
        <w:t>A.Antonovs</w:t>
      </w:r>
      <w:r w:rsidR="00242BC6">
        <w:t xml:space="preserve"> </w:t>
      </w:r>
    </w:p>
    <w:p w:rsidR="00140408" w:rsidRDefault="00140408" w:rsidP="00140408">
      <w:pPr>
        <w:tabs>
          <w:tab w:val="right" w:pos="9072"/>
        </w:tabs>
        <w:ind w:firstLine="567"/>
        <w:jc w:val="both"/>
      </w:pPr>
    </w:p>
    <w:p w:rsidR="00407037" w:rsidRDefault="00407037" w:rsidP="00140408">
      <w:pPr>
        <w:tabs>
          <w:tab w:val="right" w:pos="9072"/>
        </w:tabs>
        <w:ind w:firstLine="567"/>
        <w:jc w:val="both"/>
      </w:pPr>
    </w:p>
    <w:p w:rsidR="00452D3D" w:rsidRPr="00793018" w:rsidRDefault="001E0D75" w:rsidP="00452D3D">
      <w:r>
        <w:fldChar w:fldCharType="begin"/>
      </w:r>
      <w:r w:rsidR="00342A14">
        <w:instrText xml:space="preserve"> SAVEDATE  \@ "dd.MM.yyyy. H:mm"  \* MERGEFORMAT </w:instrText>
      </w:r>
      <w:r>
        <w:fldChar w:fldCharType="separate"/>
      </w:r>
      <w:r w:rsidR="00764E6F">
        <w:rPr>
          <w:noProof/>
        </w:rPr>
        <w:t>10.06.2013. 9:44</w:t>
      </w:r>
      <w:r>
        <w:rPr>
          <w:noProof/>
        </w:rPr>
        <w:fldChar w:fldCharType="end"/>
      </w:r>
    </w:p>
    <w:p w:rsidR="007D59E4" w:rsidRDefault="001E0D75" w:rsidP="00452D3D">
      <w:pPr>
        <w:tabs>
          <w:tab w:val="left" w:pos="3695"/>
        </w:tabs>
        <w:jc w:val="both"/>
      </w:pPr>
      <w:fldSimple w:instr=" NUMWORDS   \* MERGEFORMAT ">
        <w:r w:rsidR="00764E6F">
          <w:rPr>
            <w:noProof/>
          </w:rPr>
          <w:t>4529</w:t>
        </w:r>
      </w:fldSimple>
    </w:p>
    <w:p w:rsidR="00452D3D" w:rsidRPr="007D59E4" w:rsidRDefault="00452D3D" w:rsidP="00452D3D">
      <w:pPr>
        <w:jc w:val="both"/>
      </w:pPr>
      <w:r w:rsidRPr="007D59E4">
        <w:t>Vonda</w:t>
      </w:r>
    </w:p>
    <w:p w:rsidR="00452D3D" w:rsidRPr="007D59E4" w:rsidRDefault="00452D3D" w:rsidP="00452D3D">
      <w:pPr>
        <w:jc w:val="both"/>
      </w:pPr>
      <w:r w:rsidRPr="007D59E4">
        <w:t xml:space="preserve">67026554, </w:t>
      </w:r>
      <w:hyperlink r:id="rId8" w:history="1">
        <w:r w:rsidRPr="007D59E4">
          <w:rPr>
            <w:rStyle w:val="Hyperlink"/>
          </w:rPr>
          <w:t>ilze.vonda@varam.gov.lv</w:t>
        </w:r>
      </w:hyperlink>
    </w:p>
    <w:p w:rsidR="00140408" w:rsidRPr="007D59E4" w:rsidRDefault="00140408" w:rsidP="00452D3D"/>
    <w:sectPr w:rsidR="00140408" w:rsidRPr="007D59E4" w:rsidSect="00DB53D6">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D62" w:rsidRDefault="00BF3D62" w:rsidP="00AE6879">
      <w:r>
        <w:separator/>
      </w:r>
    </w:p>
  </w:endnote>
  <w:endnote w:type="continuationSeparator" w:id="0">
    <w:p w:rsidR="00BF3D62" w:rsidRDefault="00BF3D62" w:rsidP="00AE6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8070000" w:usb2="00000010" w:usb3="00000000" w:csb0="0002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62" w:rsidRPr="002F1A3F" w:rsidRDefault="001E0D75" w:rsidP="002B7102">
    <w:pPr>
      <w:pStyle w:val="Footer"/>
      <w:ind w:right="360"/>
      <w:jc w:val="both"/>
      <w:rPr>
        <w:sz w:val="22"/>
        <w:szCs w:val="22"/>
      </w:rPr>
    </w:pPr>
    <w:r w:rsidRPr="002F1A3F">
      <w:rPr>
        <w:sz w:val="22"/>
        <w:szCs w:val="22"/>
      </w:rPr>
      <w:fldChar w:fldCharType="begin"/>
    </w:r>
    <w:r w:rsidR="00BF3D62" w:rsidRPr="002F1A3F">
      <w:rPr>
        <w:sz w:val="22"/>
        <w:szCs w:val="22"/>
      </w:rPr>
      <w:instrText xml:space="preserve"> FILENAME </w:instrText>
    </w:r>
    <w:r w:rsidRPr="002F1A3F">
      <w:rPr>
        <w:sz w:val="22"/>
        <w:szCs w:val="22"/>
      </w:rPr>
      <w:fldChar w:fldCharType="separate"/>
    </w:r>
    <w:r w:rsidR="00BF3D62">
      <w:rPr>
        <w:noProof/>
        <w:sz w:val="22"/>
        <w:szCs w:val="22"/>
      </w:rPr>
      <w:t>VARAMzino_100613_Vides padome_1806</w:t>
    </w:r>
    <w:r w:rsidRPr="002F1A3F">
      <w:rPr>
        <w:sz w:val="22"/>
        <w:szCs w:val="22"/>
      </w:rPr>
      <w:fldChar w:fldCharType="end"/>
    </w:r>
    <w:r w:rsidR="00BF3D62" w:rsidRPr="002F1A3F">
      <w:rPr>
        <w:sz w:val="22"/>
        <w:szCs w:val="22"/>
      </w:rPr>
      <w:t xml:space="preserve">; </w:t>
    </w:r>
    <w:bookmarkStart w:id="1" w:name="OLE_LINK1"/>
    <w:bookmarkStart w:id="2" w:name="OLE_LINK2"/>
    <w:r w:rsidR="00BF3D62" w:rsidRPr="002F1A3F">
      <w:rPr>
        <w:sz w:val="22"/>
        <w:szCs w:val="22"/>
      </w:rPr>
      <w:t xml:space="preserve">Informatīvais ziņojums „Par 2013.gada </w:t>
    </w:r>
    <w:r w:rsidR="00BF3D62">
      <w:rPr>
        <w:sz w:val="22"/>
        <w:szCs w:val="22"/>
      </w:rPr>
      <w:t>18.jūnijā</w:t>
    </w:r>
    <w:r w:rsidR="00BF3D62" w:rsidRPr="002F1A3F">
      <w:rPr>
        <w:sz w:val="22"/>
        <w:szCs w:val="22"/>
      </w:rPr>
      <w:t xml:space="preserve"> Eiropas Savienības Vides padomē izskatāmajiem jautājumiem”</w:t>
    </w:r>
    <w:bookmarkEnd w:id="1"/>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62" w:rsidRPr="002F1A3F" w:rsidRDefault="001E0D75" w:rsidP="002F1A3F">
    <w:pPr>
      <w:pStyle w:val="Footer"/>
      <w:ind w:right="360"/>
      <w:jc w:val="both"/>
      <w:rPr>
        <w:sz w:val="22"/>
        <w:szCs w:val="22"/>
      </w:rPr>
    </w:pPr>
    <w:r w:rsidRPr="002F1A3F">
      <w:rPr>
        <w:sz w:val="22"/>
        <w:szCs w:val="22"/>
      </w:rPr>
      <w:fldChar w:fldCharType="begin"/>
    </w:r>
    <w:r w:rsidR="00BF3D62" w:rsidRPr="002F1A3F">
      <w:rPr>
        <w:sz w:val="22"/>
        <w:szCs w:val="22"/>
      </w:rPr>
      <w:instrText xml:space="preserve"> FILENAME </w:instrText>
    </w:r>
    <w:r w:rsidRPr="002F1A3F">
      <w:rPr>
        <w:sz w:val="22"/>
        <w:szCs w:val="22"/>
      </w:rPr>
      <w:fldChar w:fldCharType="separate"/>
    </w:r>
    <w:r w:rsidR="00BF3D62">
      <w:rPr>
        <w:noProof/>
        <w:sz w:val="22"/>
        <w:szCs w:val="22"/>
      </w:rPr>
      <w:t>VARAMzino_100613_Vides padome_1806</w:t>
    </w:r>
    <w:r w:rsidRPr="002F1A3F">
      <w:rPr>
        <w:sz w:val="22"/>
        <w:szCs w:val="22"/>
      </w:rPr>
      <w:fldChar w:fldCharType="end"/>
    </w:r>
    <w:r w:rsidR="00BF3D62" w:rsidRPr="002F1A3F">
      <w:rPr>
        <w:sz w:val="22"/>
        <w:szCs w:val="22"/>
      </w:rPr>
      <w:t xml:space="preserve">; Informatīvais ziņojums „Par 2013.gada </w:t>
    </w:r>
    <w:r w:rsidR="00BF3D62">
      <w:rPr>
        <w:sz w:val="22"/>
        <w:szCs w:val="22"/>
      </w:rPr>
      <w:t>18.jūnijā</w:t>
    </w:r>
    <w:r w:rsidR="00BF3D62" w:rsidRPr="002F1A3F">
      <w:rPr>
        <w:sz w:val="22"/>
        <w:szCs w:val="22"/>
      </w:rPr>
      <w:t xml:space="preserve"> Eiropas Savienības Vides padomē izskatāmajiem jautājumiem”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D62" w:rsidRDefault="00BF3D62" w:rsidP="00AE6879">
      <w:r>
        <w:separator/>
      </w:r>
    </w:p>
  </w:footnote>
  <w:footnote w:type="continuationSeparator" w:id="0">
    <w:p w:rsidR="00BF3D62" w:rsidRDefault="00BF3D62" w:rsidP="00AE6879">
      <w:r>
        <w:continuationSeparator/>
      </w:r>
    </w:p>
  </w:footnote>
  <w:footnote w:id="1">
    <w:p w:rsidR="00BF3D62" w:rsidRPr="0097759D" w:rsidRDefault="00BF3D62" w:rsidP="00D66C5A">
      <w:pPr>
        <w:pStyle w:val="FootnoteText"/>
        <w:spacing w:after="0"/>
        <w:rPr>
          <w:rFonts w:ascii="Times New Roman" w:hAnsi="Times New Roman" w:cs="Times New Roman"/>
          <w:sz w:val="18"/>
          <w:szCs w:val="18"/>
        </w:rPr>
      </w:pPr>
      <w:r w:rsidRPr="0097759D">
        <w:rPr>
          <w:rStyle w:val="FootnoteReference"/>
          <w:rFonts w:ascii="Times New Roman" w:hAnsi="Times New Roman" w:cs="Times New Roman"/>
          <w:sz w:val="18"/>
          <w:szCs w:val="18"/>
        </w:rPr>
        <w:footnoteRef/>
      </w:r>
      <w:r w:rsidRPr="0097759D">
        <w:rPr>
          <w:rFonts w:ascii="Times New Roman" w:hAnsi="Times New Roman" w:cs="Times New Roman"/>
          <w:sz w:val="18"/>
          <w:szCs w:val="18"/>
        </w:rPr>
        <w:t xml:space="preserve"> </w:t>
      </w:r>
      <w:r w:rsidRPr="0097759D">
        <w:rPr>
          <w:rFonts w:ascii="Times New Roman" w:hAnsi="Times New Roman" w:cs="Times New Roman"/>
          <w:i/>
          <w:sz w:val="18"/>
          <w:szCs w:val="18"/>
        </w:rPr>
        <w:t>Saskaņā ar Eiropas Parlamenta un Padomes 2009. gada 23. aprīļa Direktīvas 2009/28/EK par atjaunojamo energoresursu izmantošanas veicināšanu un ar ko groza un sekojoši atceļ Direktīvas 2001/77/EK un 2003/30/EK 3. panta 4. punktu dalībvalstīm jānodrošina, ka no atjaunojamajiem energoresursiem saražotas enerģijas īpatsvars visā transportā 2020. gadā ir vismaz 10% no enerģijas galapatēriņa transportā attiecīgajā dalībvalstī.</w:t>
      </w:r>
    </w:p>
  </w:footnote>
  <w:footnote w:id="2">
    <w:p w:rsidR="00BF3D62" w:rsidRPr="00CE63AF" w:rsidRDefault="00BF3D62" w:rsidP="00D66C5A">
      <w:pPr>
        <w:pStyle w:val="FootnoteText"/>
        <w:spacing w:after="0"/>
        <w:rPr>
          <w:rFonts w:ascii="Times New Roman" w:hAnsi="Times New Roman" w:cs="Times New Roman"/>
          <w:i/>
          <w:sz w:val="18"/>
          <w:szCs w:val="18"/>
        </w:rPr>
      </w:pPr>
      <w:r w:rsidRPr="00CE63AF">
        <w:rPr>
          <w:rStyle w:val="FootnoteReference"/>
          <w:rFonts w:ascii="Times New Roman" w:hAnsi="Times New Roman" w:cs="Times New Roman"/>
          <w:i/>
          <w:sz w:val="18"/>
          <w:szCs w:val="18"/>
        </w:rPr>
        <w:footnoteRef/>
      </w:r>
      <w:r w:rsidRPr="00CE63AF">
        <w:rPr>
          <w:rFonts w:ascii="Times New Roman" w:hAnsi="Times New Roman" w:cs="Times New Roman"/>
          <w:i/>
          <w:sz w:val="18"/>
          <w:szCs w:val="18"/>
        </w:rPr>
        <w:t xml:space="preserve"> Saskaņā ar Direktīvu 2009/28/EK no AER saražotas enerģijas īpatsvara aprēķināšanā visā transportā tiek ņemta vērā ne tikai saražotā un transportā patērētā biodegviela, bet arī no atjaunojamajiem energoresursiem saražotā un transportā patērētā elektroenerģija, pie tam autotransportā patērētajai elektroenerģijai aprēķinos šobrīd piemēro koeficientu 2,5.</w:t>
      </w:r>
    </w:p>
  </w:footnote>
  <w:footnote w:id="3">
    <w:p w:rsidR="00BF3D62" w:rsidRPr="00CE63AF" w:rsidRDefault="00BF3D62" w:rsidP="004E33C4">
      <w:pPr>
        <w:pStyle w:val="FootnoteText"/>
        <w:rPr>
          <w:rFonts w:ascii="Times New Roman" w:hAnsi="Times New Roman" w:cs="Times New Roman"/>
          <w:sz w:val="18"/>
          <w:szCs w:val="18"/>
        </w:rPr>
      </w:pPr>
      <w:r w:rsidRPr="00CE63AF">
        <w:rPr>
          <w:rStyle w:val="FootnoteReference"/>
          <w:rFonts w:ascii="Times New Roman" w:hAnsi="Times New Roman" w:cs="Times New Roman"/>
          <w:sz w:val="18"/>
          <w:szCs w:val="18"/>
        </w:rPr>
        <w:footnoteRef/>
      </w:r>
      <w:r w:rsidRPr="00CE63AF">
        <w:rPr>
          <w:rFonts w:ascii="Times New Roman" w:hAnsi="Times New Roman" w:cs="Times New Roman"/>
          <w:sz w:val="18"/>
          <w:szCs w:val="18"/>
        </w:rPr>
        <w:t xml:space="preserve"> Eiropas Parlamenta un Padomes Regula (EK) Nr.842/2006 par dažām </w:t>
      </w:r>
      <w:proofErr w:type="spellStart"/>
      <w:r w:rsidRPr="00CE63AF">
        <w:rPr>
          <w:rFonts w:ascii="Times New Roman" w:hAnsi="Times New Roman" w:cs="Times New Roman"/>
          <w:sz w:val="18"/>
          <w:szCs w:val="18"/>
        </w:rPr>
        <w:t>fluorētām</w:t>
      </w:r>
      <w:proofErr w:type="spellEnd"/>
      <w:r w:rsidRPr="00CE63AF">
        <w:rPr>
          <w:rFonts w:ascii="Times New Roman" w:hAnsi="Times New Roman" w:cs="Times New Roman"/>
          <w:sz w:val="18"/>
          <w:szCs w:val="18"/>
        </w:rPr>
        <w:t xml:space="preserve"> siltumnīcefekta gāzēm </w:t>
      </w:r>
    </w:p>
  </w:footnote>
  <w:footnote w:id="4">
    <w:p w:rsidR="00BF3D62" w:rsidRPr="00CE63AF" w:rsidRDefault="00BF3D62" w:rsidP="004E33C4">
      <w:pPr>
        <w:pStyle w:val="FootnoteText"/>
        <w:rPr>
          <w:rFonts w:ascii="Times New Roman" w:hAnsi="Times New Roman" w:cs="Times New Roman"/>
          <w:sz w:val="18"/>
          <w:szCs w:val="18"/>
        </w:rPr>
      </w:pPr>
      <w:r w:rsidRPr="00CE63AF">
        <w:rPr>
          <w:rStyle w:val="FootnoteReference"/>
          <w:rFonts w:ascii="Times New Roman" w:hAnsi="Times New Roman" w:cs="Times New Roman"/>
          <w:sz w:val="18"/>
          <w:szCs w:val="18"/>
        </w:rPr>
        <w:footnoteRef/>
      </w:r>
      <w:r w:rsidRPr="00CE63AF">
        <w:rPr>
          <w:rFonts w:ascii="Times New Roman" w:hAnsi="Times New Roman" w:cs="Times New Roman"/>
          <w:sz w:val="18"/>
          <w:szCs w:val="18"/>
        </w:rPr>
        <w:t xml:space="preserve"> MK 2011.gada 12.jūlija noteikumi Nr.536 „Noteikumi par īpašiem ierobežojumiem un aizliegumiem attiecībā uz darbībām ar ozona slāni noārdošām vielām un </w:t>
      </w:r>
      <w:proofErr w:type="spellStart"/>
      <w:r w:rsidRPr="00CE63AF">
        <w:rPr>
          <w:rFonts w:ascii="Times New Roman" w:hAnsi="Times New Roman" w:cs="Times New Roman"/>
          <w:sz w:val="18"/>
          <w:szCs w:val="18"/>
        </w:rPr>
        <w:t>fluorētām</w:t>
      </w:r>
      <w:proofErr w:type="spellEnd"/>
      <w:r w:rsidRPr="00CE63AF">
        <w:rPr>
          <w:rFonts w:ascii="Times New Roman" w:hAnsi="Times New Roman" w:cs="Times New Roman"/>
          <w:sz w:val="18"/>
          <w:szCs w:val="18"/>
        </w:rPr>
        <w:t xml:space="preserve"> siltumnīcefekta gāzēm”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62" w:rsidRDefault="001E0D75" w:rsidP="00B7472F">
    <w:pPr>
      <w:pStyle w:val="Header"/>
      <w:framePr w:wrap="around" w:vAnchor="text" w:hAnchor="margin" w:xAlign="center" w:y="1"/>
      <w:rPr>
        <w:rStyle w:val="PageNumber"/>
      </w:rPr>
    </w:pPr>
    <w:r>
      <w:rPr>
        <w:rStyle w:val="PageNumber"/>
      </w:rPr>
      <w:fldChar w:fldCharType="begin"/>
    </w:r>
    <w:r w:rsidR="00BF3D62">
      <w:rPr>
        <w:rStyle w:val="PageNumber"/>
      </w:rPr>
      <w:instrText xml:space="preserve">PAGE  </w:instrText>
    </w:r>
    <w:r>
      <w:rPr>
        <w:rStyle w:val="PageNumber"/>
      </w:rPr>
      <w:fldChar w:fldCharType="end"/>
    </w:r>
  </w:p>
  <w:p w:rsidR="00BF3D62" w:rsidRDefault="00BF3D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62" w:rsidRDefault="001E0D75" w:rsidP="00B7472F">
    <w:pPr>
      <w:pStyle w:val="Header"/>
      <w:framePr w:wrap="around" w:vAnchor="text" w:hAnchor="margin" w:xAlign="center" w:y="1"/>
      <w:rPr>
        <w:rStyle w:val="PageNumber"/>
      </w:rPr>
    </w:pPr>
    <w:r>
      <w:rPr>
        <w:rStyle w:val="PageNumber"/>
      </w:rPr>
      <w:fldChar w:fldCharType="begin"/>
    </w:r>
    <w:r w:rsidR="00BF3D62">
      <w:rPr>
        <w:rStyle w:val="PageNumber"/>
      </w:rPr>
      <w:instrText xml:space="preserve">PAGE  </w:instrText>
    </w:r>
    <w:r>
      <w:rPr>
        <w:rStyle w:val="PageNumber"/>
      </w:rPr>
      <w:fldChar w:fldCharType="separate"/>
    </w:r>
    <w:r w:rsidR="00764E6F">
      <w:rPr>
        <w:rStyle w:val="PageNumber"/>
        <w:noProof/>
      </w:rPr>
      <w:t>11</w:t>
    </w:r>
    <w:r>
      <w:rPr>
        <w:rStyle w:val="PageNumber"/>
      </w:rPr>
      <w:fldChar w:fldCharType="end"/>
    </w:r>
  </w:p>
  <w:p w:rsidR="00BF3D62" w:rsidRDefault="00BF3D62">
    <w:pPr>
      <w:pStyle w:val="Header"/>
    </w:pPr>
  </w:p>
  <w:p w:rsidR="00BF3D62" w:rsidRDefault="00BF3D62" w:rsidP="00B7472F">
    <w:pPr>
      <w:pStyle w:val="Header"/>
      <w:jc w:val="center"/>
    </w:pPr>
  </w:p>
  <w:p w:rsidR="00BF3D62" w:rsidRDefault="00BF3D62" w:rsidP="00B7472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62" w:rsidRDefault="00BF3D62" w:rsidP="00B7472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299"/>
    <w:multiLevelType w:val="hybridMultilevel"/>
    <w:tmpl w:val="F31E8480"/>
    <w:lvl w:ilvl="0" w:tplc="C2802B70">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7E4DF8"/>
    <w:multiLevelType w:val="hybridMultilevel"/>
    <w:tmpl w:val="F0C0B660"/>
    <w:lvl w:ilvl="0" w:tplc="14BCDEE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0280167E"/>
    <w:multiLevelType w:val="hybridMultilevel"/>
    <w:tmpl w:val="4080F1F0"/>
    <w:lvl w:ilvl="0" w:tplc="F3FCAC0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05611378"/>
    <w:multiLevelType w:val="multilevel"/>
    <w:tmpl w:val="0F36F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AF7ECB"/>
    <w:multiLevelType w:val="hybridMultilevel"/>
    <w:tmpl w:val="16F2A4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4679C2"/>
    <w:multiLevelType w:val="hybridMultilevel"/>
    <w:tmpl w:val="EDBCE57E"/>
    <w:lvl w:ilvl="0" w:tplc="8C5E5E52">
      <w:start w:val="1"/>
      <w:numFmt w:val="lowerRoman"/>
      <w:lvlText w:val="(%1)"/>
      <w:lvlJc w:val="left"/>
      <w:pPr>
        <w:ind w:left="1647" w:hanging="72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nsid w:val="12230183"/>
    <w:multiLevelType w:val="hybridMultilevel"/>
    <w:tmpl w:val="9ADC81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78628C3"/>
    <w:multiLevelType w:val="hybridMultilevel"/>
    <w:tmpl w:val="93246614"/>
    <w:lvl w:ilvl="0" w:tplc="BDA2AAE4">
      <w:start w:val="1"/>
      <w:numFmt w:val="lowerLetter"/>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20CE2F60"/>
    <w:multiLevelType w:val="singleLevel"/>
    <w:tmpl w:val="B3C4F8EE"/>
    <w:name w:val="Dash 3"/>
    <w:lvl w:ilvl="0">
      <w:start w:val="1"/>
      <w:numFmt w:val="bullet"/>
      <w:pStyle w:val="Dash3"/>
      <w:lvlText w:val="–"/>
      <w:lvlJc w:val="left"/>
      <w:pPr>
        <w:tabs>
          <w:tab w:val="num" w:pos="2268"/>
        </w:tabs>
        <w:ind w:left="2268" w:hanging="567"/>
      </w:pPr>
    </w:lvl>
  </w:abstractNum>
  <w:abstractNum w:abstractNumId="9">
    <w:nsid w:val="21027180"/>
    <w:multiLevelType w:val="hybridMultilevel"/>
    <w:tmpl w:val="450419A8"/>
    <w:lvl w:ilvl="0" w:tplc="01FA568A">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270F35C0"/>
    <w:multiLevelType w:val="hybridMultilevel"/>
    <w:tmpl w:val="07EC3DD8"/>
    <w:lvl w:ilvl="0" w:tplc="21FE888C">
      <w:start w:val="1"/>
      <w:numFmt w:val="lowerLetter"/>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27CF778A"/>
    <w:multiLevelType w:val="hybridMultilevel"/>
    <w:tmpl w:val="7DFCCC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4472E1"/>
    <w:multiLevelType w:val="hybridMultilevel"/>
    <w:tmpl w:val="CEB2290E"/>
    <w:lvl w:ilvl="0" w:tplc="5052CFCE">
      <w:start w:val="2013"/>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B871999"/>
    <w:multiLevelType w:val="hybridMultilevel"/>
    <w:tmpl w:val="6046D664"/>
    <w:lvl w:ilvl="0" w:tplc="50DC89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31EB3C12"/>
    <w:multiLevelType w:val="hybridMultilevel"/>
    <w:tmpl w:val="DC36B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C1D04"/>
    <w:multiLevelType w:val="hybridMultilevel"/>
    <w:tmpl w:val="1E10A3F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3FC0CA8"/>
    <w:multiLevelType w:val="hybridMultilevel"/>
    <w:tmpl w:val="EA380A52"/>
    <w:lvl w:ilvl="0" w:tplc="9154C4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9AA5C63"/>
    <w:multiLevelType w:val="singleLevel"/>
    <w:tmpl w:val="F8B4BAC6"/>
    <w:name w:val="Dash 1"/>
    <w:lvl w:ilvl="0">
      <w:start w:val="1"/>
      <w:numFmt w:val="bullet"/>
      <w:pStyle w:val="Dash1"/>
      <w:lvlText w:val="–"/>
      <w:lvlJc w:val="left"/>
      <w:pPr>
        <w:tabs>
          <w:tab w:val="num" w:pos="1134"/>
        </w:tabs>
        <w:ind w:left="1134" w:hanging="567"/>
      </w:pPr>
    </w:lvl>
  </w:abstractNum>
  <w:abstractNum w:abstractNumId="18">
    <w:nsid w:val="3EB85CAA"/>
    <w:multiLevelType w:val="multilevel"/>
    <w:tmpl w:val="95C2B9FC"/>
    <w:lvl w:ilvl="0">
      <w:start w:val="1"/>
      <w:numFmt w:val="decimal"/>
      <w:pStyle w:val="PointTriple4"/>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23E0DD0"/>
    <w:multiLevelType w:val="hybridMultilevel"/>
    <w:tmpl w:val="FA10F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AF699C"/>
    <w:multiLevelType w:val="hybridMultilevel"/>
    <w:tmpl w:val="3A80AEE4"/>
    <w:lvl w:ilvl="0" w:tplc="A6B2892E">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9903C3"/>
    <w:multiLevelType w:val="hybridMultilevel"/>
    <w:tmpl w:val="0136B96A"/>
    <w:lvl w:ilvl="0" w:tplc="3ED6F17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4775E88"/>
    <w:multiLevelType w:val="hybridMultilevel"/>
    <w:tmpl w:val="89EEDA16"/>
    <w:lvl w:ilvl="0" w:tplc="2D9C007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nsid w:val="456A23EF"/>
    <w:multiLevelType w:val="hybridMultilevel"/>
    <w:tmpl w:val="EDBCE57E"/>
    <w:lvl w:ilvl="0" w:tplc="8C5E5E52">
      <w:start w:val="1"/>
      <w:numFmt w:val="lowerRoman"/>
      <w:lvlText w:val="(%1)"/>
      <w:lvlJc w:val="left"/>
      <w:pPr>
        <w:ind w:left="1647" w:hanging="72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nsid w:val="474275A3"/>
    <w:multiLevelType w:val="multilevel"/>
    <w:tmpl w:val="92B80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84C4108"/>
    <w:multiLevelType w:val="hybridMultilevel"/>
    <w:tmpl w:val="6046D664"/>
    <w:lvl w:ilvl="0" w:tplc="50DC89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nsid w:val="4C3A24E9"/>
    <w:multiLevelType w:val="hybridMultilevel"/>
    <w:tmpl w:val="7282851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nsid w:val="4E600601"/>
    <w:multiLevelType w:val="hybridMultilevel"/>
    <w:tmpl w:val="89EEDA16"/>
    <w:lvl w:ilvl="0" w:tplc="2D9C007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nsid w:val="4FFB18E0"/>
    <w:multiLevelType w:val="hybridMultilevel"/>
    <w:tmpl w:val="FF26E03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9">
    <w:nsid w:val="519D2F6A"/>
    <w:multiLevelType w:val="hybridMultilevel"/>
    <w:tmpl w:val="CD329352"/>
    <w:lvl w:ilvl="0" w:tplc="B7B8B0D8">
      <w:start w:val="1"/>
      <w:numFmt w:val="lowerLetter"/>
      <w:lvlText w:val="%1)"/>
      <w:lvlJc w:val="left"/>
      <w:pPr>
        <w:ind w:left="1287" w:hanging="360"/>
      </w:pPr>
      <w:rPr>
        <w:rFonts w:hint="default"/>
        <w:i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nsid w:val="525F4428"/>
    <w:multiLevelType w:val="multilevel"/>
    <w:tmpl w:val="DFBCE4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2B65076"/>
    <w:multiLevelType w:val="hybridMultilevel"/>
    <w:tmpl w:val="5D7257DE"/>
    <w:lvl w:ilvl="0" w:tplc="117E73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4AF0051"/>
    <w:multiLevelType w:val="hybridMultilevel"/>
    <w:tmpl w:val="A384843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3">
    <w:nsid w:val="57F631DA"/>
    <w:multiLevelType w:val="hybridMultilevel"/>
    <w:tmpl w:val="D4C04F84"/>
    <w:lvl w:ilvl="0" w:tplc="4FBEC5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59903AD4"/>
    <w:multiLevelType w:val="multilevel"/>
    <w:tmpl w:val="426A49F4"/>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0045486"/>
    <w:multiLevelType w:val="hybridMultilevel"/>
    <w:tmpl w:val="CE121C08"/>
    <w:lvl w:ilvl="0" w:tplc="3ED6F1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2A8042C"/>
    <w:multiLevelType w:val="singleLevel"/>
    <w:tmpl w:val="CCF20C06"/>
    <w:name w:val="0,1536069"/>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7">
    <w:nsid w:val="646667D9"/>
    <w:multiLevelType w:val="hybridMultilevel"/>
    <w:tmpl w:val="3A8C6CCC"/>
    <w:lvl w:ilvl="0" w:tplc="F522C21C">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5F47E40"/>
    <w:multiLevelType w:val="hybridMultilevel"/>
    <w:tmpl w:val="89EEDA16"/>
    <w:lvl w:ilvl="0" w:tplc="2D9C007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nsid w:val="6C0B397A"/>
    <w:multiLevelType w:val="singleLevel"/>
    <w:tmpl w:val="39D2B61E"/>
    <w:name w:val="Dash 2"/>
    <w:lvl w:ilvl="0">
      <w:start w:val="1"/>
      <w:numFmt w:val="bullet"/>
      <w:pStyle w:val="Dash2"/>
      <w:lvlText w:val="–"/>
      <w:lvlJc w:val="left"/>
      <w:pPr>
        <w:tabs>
          <w:tab w:val="num" w:pos="1701"/>
        </w:tabs>
        <w:ind w:left="1701" w:hanging="567"/>
      </w:pPr>
    </w:lvl>
  </w:abstractNum>
  <w:abstractNum w:abstractNumId="40">
    <w:nsid w:val="6C3B5CC3"/>
    <w:multiLevelType w:val="hybridMultilevel"/>
    <w:tmpl w:val="4262F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EE75B3F"/>
    <w:multiLevelType w:val="multilevel"/>
    <w:tmpl w:val="82F4681E"/>
    <w:lvl w:ilvl="0">
      <w:start w:val="1"/>
      <w:numFmt w:val="decimal"/>
      <w:lvlText w:val="%1."/>
      <w:lvlJc w:val="left"/>
      <w:pPr>
        <w:ind w:left="1035" w:hanging="1035"/>
      </w:pPr>
      <w:rPr>
        <w:rFonts w:hint="default"/>
      </w:rPr>
    </w:lvl>
    <w:lvl w:ilvl="1">
      <w:start w:val="1"/>
      <w:numFmt w:val="decimal"/>
      <w:lvlText w:val="%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71161EE3"/>
    <w:multiLevelType w:val="hybridMultilevel"/>
    <w:tmpl w:val="BB44A45E"/>
    <w:lvl w:ilvl="0" w:tplc="04260015">
      <w:start w:val="1"/>
      <w:numFmt w:val="upp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5337D07"/>
    <w:multiLevelType w:val="hybridMultilevel"/>
    <w:tmpl w:val="992A52D6"/>
    <w:lvl w:ilvl="0" w:tplc="48CABC62">
      <w:start w:val="1"/>
      <w:numFmt w:val="decimal"/>
      <w:lvlText w:val="%1."/>
      <w:lvlJc w:val="left"/>
      <w:pPr>
        <w:ind w:left="927" w:hanging="360"/>
      </w:pPr>
      <w:rPr>
        <w:rFonts w:hint="default"/>
        <w:color w:val="00000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4">
    <w:nsid w:val="7A3F1516"/>
    <w:multiLevelType w:val="hybridMultilevel"/>
    <w:tmpl w:val="F9BC3A62"/>
    <w:lvl w:ilvl="0" w:tplc="455EB73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5">
    <w:nsid w:val="7AF96CAA"/>
    <w:multiLevelType w:val="hybridMultilevel"/>
    <w:tmpl w:val="20188D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B803203"/>
    <w:multiLevelType w:val="hybridMultilevel"/>
    <w:tmpl w:val="A51C8EA2"/>
    <w:lvl w:ilvl="0" w:tplc="5E3EF9D2">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nsid w:val="7BAF2D0C"/>
    <w:multiLevelType w:val="hybridMultilevel"/>
    <w:tmpl w:val="D08291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4"/>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41"/>
  </w:num>
  <w:num w:numId="8">
    <w:abstractNumId w:val="40"/>
  </w:num>
  <w:num w:numId="9">
    <w:abstractNumId w:val="16"/>
  </w:num>
  <w:num w:numId="10">
    <w:abstractNumId w:val="3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7"/>
  </w:num>
  <w:num w:numId="16">
    <w:abstractNumId w:val="0"/>
  </w:num>
  <w:num w:numId="17">
    <w:abstractNumId w:val="20"/>
  </w:num>
  <w:num w:numId="18">
    <w:abstractNumId w:val="19"/>
  </w:num>
  <w:num w:numId="19">
    <w:abstractNumId w:val="4"/>
  </w:num>
  <w:num w:numId="20">
    <w:abstractNumId w:val="35"/>
  </w:num>
  <w:num w:numId="21">
    <w:abstractNumId w:val="21"/>
  </w:num>
  <w:num w:numId="22">
    <w:abstractNumId w:val="11"/>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
  </w:num>
  <w:num w:numId="26">
    <w:abstractNumId w:val="43"/>
  </w:num>
  <w:num w:numId="27">
    <w:abstractNumId w:val="7"/>
  </w:num>
  <w:num w:numId="28">
    <w:abstractNumId w:val="25"/>
  </w:num>
  <w:num w:numId="29">
    <w:abstractNumId w:val="22"/>
  </w:num>
  <w:num w:numId="30">
    <w:abstractNumId w:val="5"/>
  </w:num>
  <w:num w:numId="31">
    <w:abstractNumId w:val="9"/>
  </w:num>
  <w:num w:numId="32">
    <w:abstractNumId w:val="10"/>
  </w:num>
  <w:num w:numId="33">
    <w:abstractNumId w:val="45"/>
  </w:num>
  <w:num w:numId="34">
    <w:abstractNumId w:val="46"/>
  </w:num>
  <w:num w:numId="35">
    <w:abstractNumId w:val="1"/>
  </w:num>
  <w:num w:numId="36">
    <w:abstractNumId w:val="29"/>
  </w:num>
  <w:num w:numId="37">
    <w:abstractNumId w:val="36"/>
  </w:num>
  <w:num w:numId="38">
    <w:abstractNumId w:val="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44"/>
  </w:num>
  <w:num w:numId="42">
    <w:abstractNumId w:val="23"/>
  </w:num>
  <w:num w:numId="43">
    <w:abstractNumId w:val="14"/>
  </w:num>
  <w:num w:numId="44">
    <w:abstractNumId w:val="47"/>
  </w:num>
  <w:num w:numId="45">
    <w:abstractNumId w:val="27"/>
  </w:num>
  <w:num w:numId="46">
    <w:abstractNumId w:val="38"/>
  </w:num>
  <w:num w:numId="47">
    <w:abstractNumId w:val="17"/>
  </w:num>
  <w:num w:numId="48">
    <w:abstractNumId w:val="39"/>
  </w:num>
  <w:num w:numId="49">
    <w:abstractNumId w:val="8"/>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rsids>
    <w:rsidRoot w:val="00D23877"/>
    <w:rsid w:val="000030DD"/>
    <w:rsid w:val="00003EB3"/>
    <w:rsid w:val="00010BAC"/>
    <w:rsid w:val="0003192C"/>
    <w:rsid w:val="000328EA"/>
    <w:rsid w:val="00034E61"/>
    <w:rsid w:val="00040266"/>
    <w:rsid w:val="00040BC2"/>
    <w:rsid w:val="000418C2"/>
    <w:rsid w:val="000423C7"/>
    <w:rsid w:val="000465FB"/>
    <w:rsid w:val="0005669D"/>
    <w:rsid w:val="000624D3"/>
    <w:rsid w:val="0008018C"/>
    <w:rsid w:val="00083367"/>
    <w:rsid w:val="00083B40"/>
    <w:rsid w:val="0008622A"/>
    <w:rsid w:val="0009204B"/>
    <w:rsid w:val="00093330"/>
    <w:rsid w:val="0009606E"/>
    <w:rsid w:val="00096389"/>
    <w:rsid w:val="000A3ECF"/>
    <w:rsid w:val="000A5F00"/>
    <w:rsid w:val="000A64E9"/>
    <w:rsid w:val="000C6AFD"/>
    <w:rsid w:val="000D09C7"/>
    <w:rsid w:val="000D1CC0"/>
    <w:rsid w:val="000E0C12"/>
    <w:rsid w:val="000E43F2"/>
    <w:rsid w:val="000E610D"/>
    <w:rsid w:val="000E6F0B"/>
    <w:rsid w:val="000F37B6"/>
    <w:rsid w:val="000F4E63"/>
    <w:rsid w:val="000F4FAC"/>
    <w:rsid w:val="00102ADA"/>
    <w:rsid w:val="001067F5"/>
    <w:rsid w:val="00111A98"/>
    <w:rsid w:val="001136D0"/>
    <w:rsid w:val="0011554A"/>
    <w:rsid w:val="00126126"/>
    <w:rsid w:val="00131C95"/>
    <w:rsid w:val="0013288B"/>
    <w:rsid w:val="0013757F"/>
    <w:rsid w:val="00137E9C"/>
    <w:rsid w:val="00140408"/>
    <w:rsid w:val="001500F9"/>
    <w:rsid w:val="0015025C"/>
    <w:rsid w:val="00152835"/>
    <w:rsid w:val="0015375A"/>
    <w:rsid w:val="0015554F"/>
    <w:rsid w:val="00164CAE"/>
    <w:rsid w:val="00164D8B"/>
    <w:rsid w:val="001658C6"/>
    <w:rsid w:val="001808A9"/>
    <w:rsid w:val="001834E1"/>
    <w:rsid w:val="0018726C"/>
    <w:rsid w:val="00190650"/>
    <w:rsid w:val="0019130F"/>
    <w:rsid w:val="00195426"/>
    <w:rsid w:val="001A125F"/>
    <w:rsid w:val="001A6EF7"/>
    <w:rsid w:val="001B0E82"/>
    <w:rsid w:val="001B1BD1"/>
    <w:rsid w:val="001B3E98"/>
    <w:rsid w:val="001C2143"/>
    <w:rsid w:val="001D2C00"/>
    <w:rsid w:val="001D3AFA"/>
    <w:rsid w:val="001D52CC"/>
    <w:rsid w:val="001E03F9"/>
    <w:rsid w:val="001E0D75"/>
    <w:rsid w:val="001E2297"/>
    <w:rsid w:val="001E4454"/>
    <w:rsid w:val="001E4F20"/>
    <w:rsid w:val="001F04EB"/>
    <w:rsid w:val="001F1502"/>
    <w:rsid w:val="001F3DE8"/>
    <w:rsid w:val="0020742E"/>
    <w:rsid w:val="00215B74"/>
    <w:rsid w:val="002171AC"/>
    <w:rsid w:val="00220EEB"/>
    <w:rsid w:val="0022176A"/>
    <w:rsid w:val="002221B9"/>
    <w:rsid w:val="00225058"/>
    <w:rsid w:val="00225FAF"/>
    <w:rsid w:val="0022603C"/>
    <w:rsid w:val="00226C5D"/>
    <w:rsid w:val="00234130"/>
    <w:rsid w:val="00234ACB"/>
    <w:rsid w:val="00234BAA"/>
    <w:rsid w:val="00235D5A"/>
    <w:rsid w:val="00241F0A"/>
    <w:rsid w:val="00242BC6"/>
    <w:rsid w:val="00244BEA"/>
    <w:rsid w:val="002518A6"/>
    <w:rsid w:val="00257D58"/>
    <w:rsid w:val="0026177B"/>
    <w:rsid w:val="00267EA5"/>
    <w:rsid w:val="00276EB4"/>
    <w:rsid w:val="002808C2"/>
    <w:rsid w:val="002834D8"/>
    <w:rsid w:val="00283D7B"/>
    <w:rsid w:val="0028407D"/>
    <w:rsid w:val="00284A0E"/>
    <w:rsid w:val="00285A15"/>
    <w:rsid w:val="00292DAA"/>
    <w:rsid w:val="00293098"/>
    <w:rsid w:val="002933DC"/>
    <w:rsid w:val="00293E75"/>
    <w:rsid w:val="00297E50"/>
    <w:rsid w:val="002A116B"/>
    <w:rsid w:val="002A3562"/>
    <w:rsid w:val="002B0771"/>
    <w:rsid w:val="002B587F"/>
    <w:rsid w:val="002B7102"/>
    <w:rsid w:val="002C27FF"/>
    <w:rsid w:val="002C43A4"/>
    <w:rsid w:val="002D0B77"/>
    <w:rsid w:val="002D45A3"/>
    <w:rsid w:val="002E613F"/>
    <w:rsid w:val="002F1A3F"/>
    <w:rsid w:val="002F4276"/>
    <w:rsid w:val="002F4ADA"/>
    <w:rsid w:val="002F70DE"/>
    <w:rsid w:val="003028E8"/>
    <w:rsid w:val="00302C46"/>
    <w:rsid w:val="003060E9"/>
    <w:rsid w:val="003147AD"/>
    <w:rsid w:val="0031777A"/>
    <w:rsid w:val="00341220"/>
    <w:rsid w:val="00341C6F"/>
    <w:rsid w:val="003424A2"/>
    <w:rsid w:val="003427D2"/>
    <w:rsid w:val="00342A14"/>
    <w:rsid w:val="00342E1E"/>
    <w:rsid w:val="00350B9F"/>
    <w:rsid w:val="00351715"/>
    <w:rsid w:val="00353B14"/>
    <w:rsid w:val="00355D2E"/>
    <w:rsid w:val="00356EDE"/>
    <w:rsid w:val="003577BF"/>
    <w:rsid w:val="00357F4B"/>
    <w:rsid w:val="00366067"/>
    <w:rsid w:val="00366B7B"/>
    <w:rsid w:val="0038273B"/>
    <w:rsid w:val="00386826"/>
    <w:rsid w:val="00387428"/>
    <w:rsid w:val="003968DC"/>
    <w:rsid w:val="00396A76"/>
    <w:rsid w:val="003A728B"/>
    <w:rsid w:val="003B0ED4"/>
    <w:rsid w:val="003B34F6"/>
    <w:rsid w:val="003B354F"/>
    <w:rsid w:val="003B43B9"/>
    <w:rsid w:val="003C35D3"/>
    <w:rsid w:val="003C5BF3"/>
    <w:rsid w:val="003D058B"/>
    <w:rsid w:val="003D14BD"/>
    <w:rsid w:val="003D3980"/>
    <w:rsid w:val="003D62BF"/>
    <w:rsid w:val="003D7799"/>
    <w:rsid w:val="003E2AC5"/>
    <w:rsid w:val="003E63A0"/>
    <w:rsid w:val="003F1E4A"/>
    <w:rsid w:val="003F5009"/>
    <w:rsid w:val="003F6229"/>
    <w:rsid w:val="00404E96"/>
    <w:rsid w:val="00407037"/>
    <w:rsid w:val="004104B2"/>
    <w:rsid w:val="00415825"/>
    <w:rsid w:val="00423468"/>
    <w:rsid w:val="004310CF"/>
    <w:rsid w:val="0043308B"/>
    <w:rsid w:val="00433DE3"/>
    <w:rsid w:val="00436ED5"/>
    <w:rsid w:val="0044065B"/>
    <w:rsid w:val="00441AF3"/>
    <w:rsid w:val="00452D3D"/>
    <w:rsid w:val="004532C1"/>
    <w:rsid w:val="00454EEB"/>
    <w:rsid w:val="0045542A"/>
    <w:rsid w:val="004575C4"/>
    <w:rsid w:val="0046105C"/>
    <w:rsid w:val="0046320D"/>
    <w:rsid w:val="00464AF3"/>
    <w:rsid w:val="00472EB0"/>
    <w:rsid w:val="00480FB2"/>
    <w:rsid w:val="00482C60"/>
    <w:rsid w:val="00492A59"/>
    <w:rsid w:val="00493052"/>
    <w:rsid w:val="004937B7"/>
    <w:rsid w:val="00494EE2"/>
    <w:rsid w:val="00496221"/>
    <w:rsid w:val="004A6029"/>
    <w:rsid w:val="004A7F60"/>
    <w:rsid w:val="004B17DE"/>
    <w:rsid w:val="004B7424"/>
    <w:rsid w:val="004C1748"/>
    <w:rsid w:val="004C6A01"/>
    <w:rsid w:val="004D71F3"/>
    <w:rsid w:val="004E2037"/>
    <w:rsid w:val="004E30B5"/>
    <w:rsid w:val="004E33C4"/>
    <w:rsid w:val="004E48FB"/>
    <w:rsid w:val="004E6076"/>
    <w:rsid w:val="004E6A71"/>
    <w:rsid w:val="004F2540"/>
    <w:rsid w:val="0050153A"/>
    <w:rsid w:val="0050415A"/>
    <w:rsid w:val="005044B3"/>
    <w:rsid w:val="00513F70"/>
    <w:rsid w:val="00515C88"/>
    <w:rsid w:val="0051657E"/>
    <w:rsid w:val="00522C99"/>
    <w:rsid w:val="00523854"/>
    <w:rsid w:val="00525A9A"/>
    <w:rsid w:val="0052692D"/>
    <w:rsid w:val="00541158"/>
    <w:rsid w:val="0054153C"/>
    <w:rsid w:val="00546BA3"/>
    <w:rsid w:val="005470FE"/>
    <w:rsid w:val="00552058"/>
    <w:rsid w:val="005520E0"/>
    <w:rsid w:val="0055327F"/>
    <w:rsid w:val="00553DAB"/>
    <w:rsid w:val="00554B70"/>
    <w:rsid w:val="00556788"/>
    <w:rsid w:val="00567E15"/>
    <w:rsid w:val="0057554A"/>
    <w:rsid w:val="00575ADF"/>
    <w:rsid w:val="00575D06"/>
    <w:rsid w:val="00580354"/>
    <w:rsid w:val="00582FE3"/>
    <w:rsid w:val="005838D4"/>
    <w:rsid w:val="00586502"/>
    <w:rsid w:val="00587B09"/>
    <w:rsid w:val="00594A22"/>
    <w:rsid w:val="00595A5F"/>
    <w:rsid w:val="005971B8"/>
    <w:rsid w:val="005B57FB"/>
    <w:rsid w:val="005B71B6"/>
    <w:rsid w:val="005C2437"/>
    <w:rsid w:val="005C7CEB"/>
    <w:rsid w:val="005D1B87"/>
    <w:rsid w:val="005D37B2"/>
    <w:rsid w:val="005D4F45"/>
    <w:rsid w:val="005E166F"/>
    <w:rsid w:val="005E4912"/>
    <w:rsid w:val="005F3DA7"/>
    <w:rsid w:val="005F6491"/>
    <w:rsid w:val="005F7BE0"/>
    <w:rsid w:val="00600269"/>
    <w:rsid w:val="006004F6"/>
    <w:rsid w:val="0060509D"/>
    <w:rsid w:val="006052F9"/>
    <w:rsid w:val="00607B39"/>
    <w:rsid w:val="00610C03"/>
    <w:rsid w:val="00615285"/>
    <w:rsid w:val="00621019"/>
    <w:rsid w:val="00641B04"/>
    <w:rsid w:val="00641F54"/>
    <w:rsid w:val="00646F01"/>
    <w:rsid w:val="00650DCE"/>
    <w:rsid w:val="00650DFD"/>
    <w:rsid w:val="00652F0A"/>
    <w:rsid w:val="0065786D"/>
    <w:rsid w:val="0067215C"/>
    <w:rsid w:val="006755C4"/>
    <w:rsid w:val="00695ABA"/>
    <w:rsid w:val="00696244"/>
    <w:rsid w:val="006A0ABF"/>
    <w:rsid w:val="006A1E64"/>
    <w:rsid w:val="006A3161"/>
    <w:rsid w:val="006A707C"/>
    <w:rsid w:val="006C03CE"/>
    <w:rsid w:val="006D1E27"/>
    <w:rsid w:val="006D38BD"/>
    <w:rsid w:val="006E0522"/>
    <w:rsid w:val="006E4F57"/>
    <w:rsid w:val="00704F75"/>
    <w:rsid w:val="0071004C"/>
    <w:rsid w:val="00716579"/>
    <w:rsid w:val="0072085F"/>
    <w:rsid w:val="0072158E"/>
    <w:rsid w:val="00722572"/>
    <w:rsid w:val="00733E69"/>
    <w:rsid w:val="00734575"/>
    <w:rsid w:val="00742E4E"/>
    <w:rsid w:val="00744B84"/>
    <w:rsid w:val="0075474D"/>
    <w:rsid w:val="00754BCC"/>
    <w:rsid w:val="007554E6"/>
    <w:rsid w:val="0076055A"/>
    <w:rsid w:val="007631DF"/>
    <w:rsid w:val="00764DA9"/>
    <w:rsid w:val="00764DEE"/>
    <w:rsid w:val="00764E6F"/>
    <w:rsid w:val="0077497B"/>
    <w:rsid w:val="007758CA"/>
    <w:rsid w:val="00784403"/>
    <w:rsid w:val="00791EDB"/>
    <w:rsid w:val="00791F0A"/>
    <w:rsid w:val="007934BB"/>
    <w:rsid w:val="00797523"/>
    <w:rsid w:val="007A100C"/>
    <w:rsid w:val="007A1272"/>
    <w:rsid w:val="007A492F"/>
    <w:rsid w:val="007B0265"/>
    <w:rsid w:val="007B2938"/>
    <w:rsid w:val="007B2E76"/>
    <w:rsid w:val="007B3B29"/>
    <w:rsid w:val="007B42D6"/>
    <w:rsid w:val="007B580C"/>
    <w:rsid w:val="007B6F56"/>
    <w:rsid w:val="007C2228"/>
    <w:rsid w:val="007C563F"/>
    <w:rsid w:val="007C6C07"/>
    <w:rsid w:val="007D0917"/>
    <w:rsid w:val="007D3047"/>
    <w:rsid w:val="007D4DDE"/>
    <w:rsid w:val="007D59E4"/>
    <w:rsid w:val="007E0A56"/>
    <w:rsid w:val="007F7B34"/>
    <w:rsid w:val="00801917"/>
    <w:rsid w:val="00805C4B"/>
    <w:rsid w:val="008138EF"/>
    <w:rsid w:val="00814D32"/>
    <w:rsid w:val="00821A0E"/>
    <w:rsid w:val="008253D1"/>
    <w:rsid w:val="00825F1B"/>
    <w:rsid w:val="00826F03"/>
    <w:rsid w:val="008274E1"/>
    <w:rsid w:val="008301F8"/>
    <w:rsid w:val="008317D6"/>
    <w:rsid w:val="008331FE"/>
    <w:rsid w:val="00842B81"/>
    <w:rsid w:val="008473D5"/>
    <w:rsid w:val="0085191D"/>
    <w:rsid w:val="00852A4D"/>
    <w:rsid w:val="00854BB0"/>
    <w:rsid w:val="0085658D"/>
    <w:rsid w:val="00865E8A"/>
    <w:rsid w:val="0086760A"/>
    <w:rsid w:val="00871024"/>
    <w:rsid w:val="008758A8"/>
    <w:rsid w:val="00875A50"/>
    <w:rsid w:val="00876A8C"/>
    <w:rsid w:val="00883CA9"/>
    <w:rsid w:val="008844E7"/>
    <w:rsid w:val="00890BE2"/>
    <w:rsid w:val="00890F18"/>
    <w:rsid w:val="00895FF7"/>
    <w:rsid w:val="008974E3"/>
    <w:rsid w:val="008A46A3"/>
    <w:rsid w:val="008B1D44"/>
    <w:rsid w:val="008B704D"/>
    <w:rsid w:val="008B7301"/>
    <w:rsid w:val="008D2768"/>
    <w:rsid w:val="008D29FA"/>
    <w:rsid w:val="008D444F"/>
    <w:rsid w:val="008E14CD"/>
    <w:rsid w:val="008E269E"/>
    <w:rsid w:val="008E397B"/>
    <w:rsid w:val="008E4F23"/>
    <w:rsid w:val="008E533C"/>
    <w:rsid w:val="008F2DE3"/>
    <w:rsid w:val="00902170"/>
    <w:rsid w:val="009024CC"/>
    <w:rsid w:val="00903D21"/>
    <w:rsid w:val="00904529"/>
    <w:rsid w:val="0090565A"/>
    <w:rsid w:val="009059D8"/>
    <w:rsid w:val="009118B9"/>
    <w:rsid w:val="00911D55"/>
    <w:rsid w:val="00913A3A"/>
    <w:rsid w:val="00927EF7"/>
    <w:rsid w:val="00931799"/>
    <w:rsid w:val="00933A1F"/>
    <w:rsid w:val="009343D3"/>
    <w:rsid w:val="00935DF3"/>
    <w:rsid w:val="00940266"/>
    <w:rsid w:val="0094499D"/>
    <w:rsid w:val="009501B4"/>
    <w:rsid w:val="00952753"/>
    <w:rsid w:val="0095278B"/>
    <w:rsid w:val="00961055"/>
    <w:rsid w:val="00961C02"/>
    <w:rsid w:val="00967927"/>
    <w:rsid w:val="009706A7"/>
    <w:rsid w:val="00972037"/>
    <w:rsid w:val="009772E2"/>
    <w:rsid w:val="0097759D"/>
    <w:rsid w:val="00986E83"/>
    <w:rsid w:val="009A227A"/>
    <w:rsid w:val="009A27F6"/>
    <w:rsid w:val="009A2BA6"/>
    <w:rsid w:val="009A67CB"/>
    <w:rsid w:val="009A7849"/>
    <w:rsid w:val="009A78D7"/>
    <w:rsid w:val="009A7E4A"/>
    <w:rsid w:val="009B0CAE"/>
    <w:rsid w:val="009B6B55"/>
    <w:rsid w:val="009B72B7"/>
    <w:rsid w:val="009C4D15"/>
    <w:rsid w:val="009C5A4E"/>
    <w:rsid w:val="009C7683"/>
    <w:rsid w:val="009D056B"/>
    <w:rsid w:val="009D7FE2"/>
    <w:rsid w:val="009E0F97"/>
    <w:rsid w:val="009E3C35"/>
    <w:rsid w:val="009E65F8"/>
    <w:rsid w:val="009E7D9E"/>
    <w:rsid w:val="009F39BC"/>
    <w:rsid w:val="00A03229"/>
    <w:rsid w:val="00A04130"/>
    <w:rsid w:val="00A0537B"/>
    <w:rsid w:val="00A06159"/>
    <w:rsid w:val="00A13041"/>
    <w:rsid w:val="00A147A1"/>
    <w:rsid w:val="00A149A3"/>
    <w:rsid w:val="00A24C31"/>
    <w:rsid w:val="00A279D1"/>
    <w:rsid w:val="00A3328B"/>
    <w:rsid w:val="00A40853"/>
    <w:rsid w:val="00A42AF8"/>
    <w:rsid w:val="00A47C07"/>
    <w:rsid w:val="00A52A93"/>
    <w:rsid w:val="00A54E53"/>
    <w:rsid w:val="00A60EBA"/>
    <w:rsid w:val="00A626C6"/>
    <w:rsid w:val="00A64AD2"/>
    <w:rsid w:val="00A6599A"/>
    <w:rsid w:val="00A70BDE"/>
    <w:rsid w:val="00A76613"/>
    <w:rsid w:val="00A85D16"/>
    <w:rsid w:val="00A86D9A"/>
    <w:rsid w:val="00A86DB9"/>
    <w:rsid w:val="00AA1B80"/>
    <w:rsid w:val="00AA1BC3"/>
    <w:rsid w:val="00AA2D4C"/>
    <w:rsid w:val="00AB4E23"/>
    <w:rsid w:val="00AC07E7"/>
    <w:rsid w:val="00AC3935"/>
    <w:rsid w:val="00AC7FE1"/>
    <w:rsid w:val="00AD1A82"/>
    <w:rsid w:val="00AE01F3"/>
    <w:rsid w:val="00AE4764"/>
    <w:rsid w:val="00AE5C08"/>
    <w:rsid w:val="00AE6879"/>
    <w:rsid w:val="00AE6D22"/>
    <w:rsid w:val="00AF4D20"/>
    <w:rsid w:val="00AF603C"/>
    <w:rsid w:val="00B0654C"/>
    <w:rsid w:val="00B22819"/>
    <w:rsid w:val="00B25ACF"/>
    <w:rsid w:val="00B2692B"/>
    <w:rsid w:val="00B37A3A"/>
    <w:rsid w:val="00B50ACC"/>
    <w:rsid w:val="00B562CA"/>
    <w:rsid w:val="00B703FA"/>
    <w:rsid w:val="00B7472F"/>
    <w:rsid w:val="00B7473A"/>
    <w:rsid w:val="00B74EFE"/>
    <w:rsid w:val="00B758F6"/>
    <w:rsid w:val="00B7628C"/>
    <w:rsid w:val="00B87C79"/>
    <w:rsid w:val="00B90DAB"/>
    <w:rsid w:val="00B923F4"/>
    <w:rsid w:val="00B961C8"/>
    <w:rsid w:val="00B97D42"/>
    <w:rsid w:val="00BA0B26"/>
    <w:rsid w:val="00BA3758"/>
    <w:rsid w:val="00BA3F7B"/>
    <w:rsid w:val="00BA781E"/>
    <w:rsid w:val="00BC41E5"/>
    <w:rsid w:val="00BD67A6"/>
    <w:rsid w:val="00BD7E81"/>
    <w:rsid w:val="00BE6EF7"/>
    <w:rsid w:val="00BE7B5D"/>
    <w:rsid w:val="00BF2FF8"/>
    <w:rsid w:val="00BF3D62"/>
    <w:rsid w:val="00BF4711"/>
    <w:rsid w:val="00BF61F4"/>
    <w:rsid w:val="00BF7CA9"/>
    <w:rsid w:val="00C024C2"/>
    <w:rsid w:val="00C076CC"/>
    <w:rsid w:val="00C11669"/>
    <w:rsid w:val="00C14B36"/>
    <w:rsid w:val="00C218D8"/>
    <w:rsid w:val="00C25471"/>
    <w:rsid w:val="00C30460"/>
    <w:rsid w:val="00C322E9"/>
    <w:rsid w:val="00C3597B"/>
    <w:rsid w:val="00C4595C"/>
    <w:rsid w:val="00C475AA"/>
    <w:rsid w:val="00C55FA0"/>
    <w:rsid w:val="00C63EF5"/>
    <w:rsid w:val="00C6460A"/>
    <w:rsid w:val="00C73079"/>
    <w:rsid w:val="00C8504C"/>
    <w:rsid w:val="00C8764B"/>
    <w:rsid w:val="00C87E08"/>
    <w:rsid w:val="00C90189"/>
    <w:rsid w:val="00CA693C"/>
    <w:rsid w:val="00CB4C5C"/>
    <w:rsid w:val="00CC2252"/>
    <w:rsid w:val="00CC265E"/>
    <w:rsid w:val="00CC4F3F"/>
    <w:rsid w:val="00CC5287"/>
    <w:rsid w:val="00CD3012"/>
    <w:rsid w:val="00CD5650"/>
    <w:rsid w:val="00CD5F4F"/>
    <w:rsid w:val="00CE05B7"/>
    <w:rsid w:val="00CE63AF"/>
    <w:rsid w:val="00CF0340"/>
    <w:rsid w:val="00CF1437"/>
    <w:rsid w:val="00CF14E8"/>
    <w:rsid w:val="00CF51EA"/>
    <w:rsid w:val="00D031D7"/>
    <w:rsid w:val="00D046C8"/>
    <w:rsid w:val="00D145F5"/>
    <w:rsid w:val="00D17744"/>
    <w:rsid w:val="00D23877"/>
    <w:rsid w:val="00D24B09"/>
    <w:rsid w:val="00D27247"/>
    <w:rsid w:val="00D33A41"/>
    <w:rsid w:val="00D3623F"/>
    <w:rsid w:val="00D40C2B"/>
    <w:rsid w:val="00D415B3"/>
    <w:rsid w:val="00D52CF9"/>
    <w:rsid w:val="00D57BA3"/>
    <w:rsid w:val="00D605D4"/>
    <w:rsid w:val="00D656BA"/>
    <w:rsid w:val="00D663B2"/>
    <w:rsid w:val="00D66C5A"/>
    <w:rsid w:val="00D713B8"/>
    <w:rsid w:val="00D83092"/>
    <w:rsid w:val="00D833F7"/>
    <w:rsid w:val="00D845D9"/>
    <w:rsid w:val="00D87349"/>
    <w:rsid w:val="00D967EB"/>
    <w:rsid w:val="00DA3958"/>
    <w:rsid w:val="00DA4EBC"/>
    <w:rsid w:val="00DB53D6"/>
    <w:rsid w:val="00DC1063"/>
    <w:rsid w:val="00DC2B2A"/>
    <w:rsid w:val="00DC33E7"/>
    <w:rsid w:val="00DC49E3"/>
    <w:rsid w:val="00DD4799"/>
    <w:rsid w:val="00DD7DEF"/>
    <w:rsid w:val="00DE23A1"/>
    <w:rsid w:val="00DE2DFD"/>
    <w:rsid w:val="00DE5CD3"/>
    <w:rsid w:val="00DF357D"/>
    <w:rsid w:val="00DF44F4"/>
    <w:rsid w:val="00DF56B7"/>
    <w:rsid w:val="00E01227"/>
    <w:rsid w:val="00E04F48"/>
    <w:rsid w:val="00E06D81"/>
    <w:rsid w:val="00E14CFC"/>
    <w:rsid w:val="00E14E27"/>
    <w:rsid w:val="00E1524A"/>
    <w:rsid w:val="00E21848"/>
    <w:rsid w:val="00E222E4"/>
    <w:rsid w:val="00E22357"/>
    <w:rsid w:val="00E23C93"/>
    <w:rsid w:val="00E2729C"/>
    <w:rsid w:val="00E276F8"/>
    <w:rsid w:val="00E35CF5"/>
    <w:rsid w:val="00E4113B"/>
    <w:rsid w:val="00E4195D"/>
    <w:rsid w:val="00E50ECF"/>
    <w:rsid w:val="00E555C4"/>
    <w:rsid w:val="00E6041B"/>
    <w:rsid w:val="00E6598A"/>
    <w:rsid w:val="00E70E2B"/>
    <w:rsid w:val="00E710D5"/>
    <w:rsid w:val="00E825F7"/>
    <w:rsid w:val="00E83B66"/>
    <w:rsid w:val="00E84EAB"/>
    <w:rsid w:val="00E8737A"/>
    <w:rsid w:val="00E9057E"/>
    <w:rsid w:val="00E942FF"/>
    <w:rsid w:val="00E94F5B"/>
    <w:rsid w:val="00E96241"/>
    <w:rsid w:val="00EA03DF"/>
    <w:rsid w:val="00EA4577"/>
    <w:rsid w:val="00EA4BCC"/>
    <w:rsid w:val="00EA5D39"/>
    <w:rsid w:val="00EA7C9E"/>
    <w:rsid w:val="00EC3B8A"/>
    <w:rsid w:val="00EC43F7"/>
    <w:rsid w:val="00EC73EF"/>
    <w:rsid w:val="00ED0495"/>
    <w:rsid w:val="00ED2D0A"/>
    <w:rsid w:val="00ED2DB7"/>
    <w:rsid w:val="00EE18F6"/>
    <w:rsid w:val="00EF138E"/>
    <w:rsid w:val="00EF3586"/>
    <w:rsid w:val="00EF39B1"/>
    <w:rsid w:val="00EF68B2"/>
    <w:rsid w:val="00F0626A"/>
    <w:rsid w:val="00F12098"/>
    <w:rsid w:val="00F125BB"/>
    <w:rsid w:val="00F12D91"/>
    <w:rsid w:val="00F135C2"/>
    <w:rsid w:val="00F148DF"/>
    <w:rsid w:val="00F2607C"/>
    <w:rsid w:val="00F35A6A"/>
    <w:rsid w:val="00F4345D"/>
    <w:rsid w:val="00F44075"/>
    <w:rsid w:val="00F47B41"/>
    <w:rsid w:val="00F51C0E"/>
    <w:rsid w:val="00F52903"/>
    <w:rsid w:val="00F54973"/>
    <w:rsid w:val="00F57B52"/>
    <w:rsid w:val="00F57D67"/>
    <w:rsid w:val="00F70CAD"/>
    <w:rsid w:val="00F71827"/>
    <w:rsid w:val="00F75078"/>
    <w:rsid w:val="00F85E42"/>
    <w:rsid w:val="00F87088"/>
    <w:rsid w:val="00F91CC0"/>
    <w:rsid w:val="00F927D6"/>
    <w:rsid w:val="00FB1485"/>
    <w:rsid w:val="00FB1BEE"/>
    <w:rsid w:val="00FC573E"/>
    <w:rsid w:val="00FD7564"/>
    <w:rsid w:val="00FE3BD9"/>
    <w:rsid w:val="00FE7EDA"/>
    <w:rsid w:val="00FF25E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uiPriority w:val="99"/>
    <w:rsid w:val="00D23877"/>
    <w:pPr>
      <w:spacing w:before="150" w:after="150"/>
      <w:ind w:left="675" w:right="525"/>
    </w:pPr>
    <w:rPr>
      <w:sz w:val="19"/>
      <w:szCs w:val="19"/>
    </w:rPr>
  </w:style>
  <w:style w:type="character" w:customStyle="1" w:styleId="hps">
    <w:name w:val="hps"/>
    <w:basedOn w:val="DefaultParagraphFont"/>
    <w:rsid w:val="00D23877"/>
  </w:style>
  <w:style w:type="character" w:customStyle="1" w:styleId="at3">
    <w:name w:val="a__t3"/>
    <w:basedOn w:val="DefaultParagraphFont"/>
    <w:rsid w:val="00D23877"/>
  </w:style>
  <w:style w:type="paragraph" w:styleId="ListParagraph">
    <w:name w:val="List Paragraph"/>
    <w:basedOn w:val="Normal"/>
    <w:uiPriority w:val="34"/>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iPriority w:val="99"/>
    <w:unhideWhenUsed/>
    <w:rsid w:val="00452D3D"/>
    <w:rPr>
      <w:color w:val="0000FF"/>
      <w:u w:val="single"/>
    </w:rPr>
  </w:style>
  <w:style w:type="paragraph" w:styleId="FootnoteText">
    <w:name w:val="footnote text"/>
    <w:aliases w:val="Footnote,Fußnote, Char,Fußnote Char Char Char"/>
    <w:basedOn w:val="Normal"/>
    <w:link w:val="FootnoteTextChar"/>
    <w:uiPriority w:val="99"/>
    <w:unhideWhenUsed/>
    <w:rsid w:val="00883CA9"/>
    <w:pPr>
      <w:spacing w:after="200" w:line="276" w:lineRule="auto"/>
    </w:pPr>
    <w:rPr>
      <w:rFonts w:ascii="Calibri" w:eastAsiaTheme="minorHAnsi" w:hAnsi="Calibri" w:cs="Calibri"/>
      <w:sz w:val="20"/>
      <w:szCs w:val="20"/>
    </w:rPr>
  </w:style>
  <w:style w:type="character" w:customStyle="1" w:styleId="FootnoteTextChar">
    <w:name w:val="Footnote Text Char"/>
    <w:aliases w:val="Footnote Char,Fußnote Char, Char Char,Fußnote Char Char Char Char"/>
    <w:basedOn w:val="DefaultParagraphFont"/>
    <w:link w:val="FootnoteText"/>
    <w:uiPriority w:val="99"/>
    <w:rsid w:val="00883CA9"/>
    <w:rPr>
      <w:rFonts w:ascii="Calibri" w:hAnsi="Calibri" w:cs="Calibri"/>
      <w:sz w:val="20"/>
      <w:szCs w:val="20"/>
      <w:lang w:eastAsia="lv-LV"/>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basedOn w:val="DefaultParagraphFont"/>
    <w:unhideWhenUsed/>
    <w:qFormat/>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1"/>
      </w:numPr>
      <w:spacing w:before="120" w:after="120" w:line="360" w:lineRule="auto"/>
    </w:pPr>
    <w:rPr>
      <w:rFonts w:eastAsiaTheme="minorHAnsi"/>
    </w:rPr>
  </w:style>
  <w:style w:type="paragraph" w:customStyle="1" w:styleId="NumPar2">
    <w:name w:val="NumPar 2"/>
    <w:basedOn w:val="Normal"/>
    <w:rsid w:val="002808C2"/>
    <w:pPr>
      <w:numPr>
        <w:ilvl w:val="2"/>
        <w:numId w:val="11"/>
      </w:numPr>
      <w:spacing w:before="120" w:after="120" w:line="360" w:lineRule="auto"/>
    </w:pPr>
    <w:rPr>
      <w:rFonts w:eastAsiaTheme="minorHAnsi"/>
    </w:rPr>
  </w:style>
  <w:style w:type="paragraph" w:customStyle="1" w:styleId="NumPar3">
    <w:name w:val="NumPar 3"/>
    <w:basedOn w:val="Normal"/>
    <w:rsid w:val="002808C2"/>
    <w:pPr>
      <w:numPr>
        <w:ilvl w:val="3"/>
        <w:numId w:val="1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semiHidden/>
    <w:unhideWhenUsed/>
    <w:rsid w:val="0085658D"/>
    <w:rPr>
      <w:sz w:val="16"/>
      <w:szCs w:val="16"/>
    </w:rPr>
  </w:style>
  <w:style w:type="paragraph" w:styleId="CommentText">
    <w:name w:val="annotation text"/>
    <w:basedOn w:val="Normal"/>
    <w:link w:val="CommentTextChar"/>
    <w:semiHidden/>
    <w:unhideWhenUsed/>
    <w:rsid w:val="0085658D"/>
    <w:rPr>
      <w:sz w:val="20"/>
      <w:szCs w:val="20"/>
    </w:rPr>
  </w:style>
  <w:style w:type="character" w:customStyle="1" w:styleId="CommentTextChar">
    <w:name w:val="Comment Text Char"/>
    <w:basedOn w:val="DefaultParagraphFont"/>
    <w:link w:val="CommentText"/>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5658D"/>
    <w:rPr>
      <w:rFonts w:ascii="Tahoma" w:hAnsi="Tahoma" w:cs="Tahoma"/>
      <w:sz w:val="16"/>
      <w:szCs w:val="16"/>
    </w:rPr>
  </w:style>
  <w:style w:type="character" w:customStyle="1" w:styleId="BalloonTextChar">
    <w:name w:val="Balloon Text Char"/>
    <w:basedOn w:val="DefaultParagraphFont"/>
    <w:link w:val="BalloonText"/>
    <w:uiPriority w:val="99"/>
    <w:semiHidden/>
    <w:rsid w:val="0085658D"/>
    <w:rPr>
      <w:rFonts w:ascii="Tahoma" w:eastAsia="Times New Roman" w:hAnsi="Tahoma" w:cs="Tahoma"/>
      <w:sz w:val="16"/>
      <w:szCs w:val="16"/>
      <w:lang w:eastAsia="lv-LV"/>
    </w:rPr>
  </w:style>
  <w:style w:type="paragraph" w:customStyle="1" w:styleId="ListDash1">
    <w:name w:val="List Dash 1"/>
    <w:basedOn w:val="Normal"/>
    <w:rsid w:val="00D66C5A"/>
    <w:pPr>
      <w:numPr>
        <w:numId w:val="37"/>
      </w:numPr>
      <w:spacing w:before="120" w:after="120"/>
      <w:jc w:val="both"/>
    </w:pPr>
    <w:rPr>
      <w:snapToGrid w:val="0"/>
      <w:lang w:eastAsia="de-DE"/>
    </w:rPr>
  </w:style>
  <w:style w:type="paragraph" w:customStyle="1" w:styleId="Text6">
    <w:name w:val="Text 6"/>
    <w:basedOn w:val="Normal"/>
    <w:rsid w:val="00A3328B"/>
    <w:pPr>
      <w:ind w:left="3402"/>
      <w:outlineLvl w:val="5"/>
    </w:pPr>
    <w:rPr>
      <w:lang w:val="en-GB" w:eastAsia="fr-BE"/>
    </w:rPr>
  </w:style>
  <w:style w:type="paragraph" w:customStyle="1" w:styleId="Text3">
    <w:name w:val="Text 3"/>
    <w:basedOn w:val="Normal"/>
    <w:rsid w:val="00EC43F7"/>
    <w:pPr>
      <w:ind w:left="1701"/>
      <w:outlineLvl w:val="2"/>
    </w:pPr>
    <w:rPr>
      <w:lang w:val="en-GB" w:eastAsia="fr-BE"/>
    </w:rPr>
  </w:style>
  <w:style w:type="paragraph" w:customStyle="1" w:styleId="Text5">
    <w:name w:val="Text 5"/>
    <w:basedOn w:val="Normal"/>
    <w:rsid w:val="00EC43F7"/>
    <w:pPr>
      <w:ind w:left="2835"/>
      <w:outlineLvl w:val="4"/>
    </w:pPr>
    <w:rPr>
      <w:lang w:val="en-GB" w:eastAsia="fr-BE"/>
    </w:rPr>
  </w:style>
  <w:style w:type="paragraph" w:customStyle="1" w:styleId="Text4">
    <w:name w:val="Text 4"/>
    <w:basedOn w:val="Normal"/>
    <w:rsid w:val="0015554F"/>
    <w:pPr>
      <w:ind w:left="2268"/>
      <w:outlineLvl w:val="3"/>
    </w:pPr>
    <w:rPr>
      <w:lang w:val="en-GB" w:eastAsia="fr-BE"/>
    </w:rPr>
  </w:style>
  <w:style w:type="paragraph" w:styleId="Revision">
    <w:name w:val="Revision"/>
    <w:hidden/>
    <w:uiPriority w:val="99"/>
    <w:semiHidden/>
    <w:rsid w:val="00580354"/>
    <w:pPr>
      <w:spacing w:after="0" w:line="240" w:lineRule="auto"/>
    </w:pPr>
    <w:rPr>
      <w:rFonts w:ascii="Times New Roman" w:eastAsia="Times New Roman" w:hAnsi="Times New Roman" w:cs="Times New Roman"/>
      <w:sz w:val="24"/>
      <w:szCs w:val="24"/>
      <w:lang w:eastAsia="lv-LV"/>
    </w:rPr>
  </w:style>
  <w:style w:type="paragraph" w:customStyle="1" w:styleId="Titreobjet">
    <w:name w:val="Titre objet"/>
    <w:basedOn w:val="Normal"/>
    <w:next w:val="Normal"/>
    <w:rsid w:val="0097759D"/>
    <w:pPr>
      <w:spacing w:before="360" w:after="360"/>
      <w:jc w:val="center"/>
    </w:pPr>
    <w:rPr>
      <w:b/>
      <w:snapToGrid w:val="0"/>
      <w:lang w:eastAsia="en-GB"/>
    </w:rPr>
  </w:style>
  <w:style w:type="paragraph" w:customStyle="1" w:styleId="ManualHeading2">
    <w:name w:val="Manual Heading 2"/>
    <w:basedOn w:val="Normal"/>
    <w:next w:val="Normal"/>
    <w:rsid w:val="00CC2252"/>
    <w:pPr>
      <w:keepNext/>
      <w:tabs>
        <w:tab w:val="left" w:pos="850"/>
      </w:tabs>
      <w:spacing w:before="120" w:after="120"/>
      <w:ind w:left="850" w:hanging="850"/>
      <w:jc w:val="both"/>
      <w:outlineLvl w:val="1"/>
    </w:pPr>
    <w:rPr>
      <w:b/>
      <w:lang w:eastAsia="en-US"/>
    </w:rPr>
  </w:style>
  <w:style w:type="paragraph" w:styleId="Title">
    <w:name w:val="Title"/>
    <w:basedOn w:val="Normal"/>
    <w:link w:val="TitleChar"/>
    <w:qFormat/>
    <w:rsid w:val="00BA3F7B"/>
    <w:pPr>
      <w:spacing w:before="480" w:after="240"/>
      <w:jc w:val="center"/>
    </w:pPr>
    <w:rPr>
      <w:b/>
      <w:bCs/>
      <w:i/>
      <w:iCs/>
      <w:snapToGrid w:val="0"/>
      <w:u w:val="single"/>
      <w:lang w:eastAsia="en-US"/>
    </w:rPr>
  </w:style>
  <w:style w:type="character" w:customStyle="1" w:styleId="TitleChar">
    <w:name w:val="Title Char"/>
    <w:basedOn w:val="DefaultParagraphFont"/>
    <w:link w:val="Title"/>
    <w:rsid w:val="00BA3F7B"/>
    <w:rPr>
      <w:rFonts w:ascii="Times New Roman" w:eastAsia="Times New Roman" w:hAnsi="Times New Roman" w:cs="Times New Roman"/>
      <w:b/>
      <w:bCs/>
      <w:i/>
      <w:iCs/>
      <w:snapToGrid w:val="0"/>
      <w:sz w:val="24"/>
      <w:szCs w:val="24"/>
      <w:u w:val="single"/>
    </w:rPr>
  </w:style>
  <w:style w:type="paragraph" w:customStyle="1" w:styleId="PointManual">
    <w:name w:val="Point Manual"/>
    <w:basedOn w:val="Normal"/>
    <w:rsid w:val="00BA3F7B"/>
    <w:pPr>
      <w:spacing w:before="200"/>
      <w:ind w:left="567" w:hanging="567"/>
    </w:pPr>
    <w:rPr>
      <w:snapToGrid w:val="0"/>
      <w:lang w:eastAsia="en-US"/>
    </w:rPr>
  </w:style>
  <w:style w:type="paragraph" w:customStyle="1" w:styleId="PointManual1">
    <w:name w:val="Point Manual (1)"/>
    <w:basedOn w:val="Normal"/>
    <w:rsid w:val="00BA3F7B"/>
    <w:pPr>
      <w:ind w:left="1134" w:hanging="567"/>
      <w:outlineLvl w:val="0"/>
    </w:pPr>
    <w:rPr>
      <w:snapToGrid w:val="0"/>
      <w:lang w:eastAsia="en-US"/>
    </w:rPr>
  </w:style>
  <w:style w:type="paragraph" w:customStyle="1" w:styleId="PointManual2">
    <w:name w:val="Point Manual (2)"/>
    <w:basedOn w:val="Normal"/>
    <w:rsid w:val="00BA3F7B"/>
    <w:pPr>
      <w:ind w:left="1701" w:hanging="567"/>
      <w:outlineLvl w:val="1"/>
    </w:pPr>
    <w:rPr>
      <w:snapToGrid w:val="0"/>
      <w:lang w:eastAsia="en-US"/>
    </w:rPr>
  </w:style>
  <w:style w:type="paragraph" w:customStyle="1" w:styleId="Dash1">
    <w:name w:val="Dash 1"/>
    <w:basedOn w:val="Normal"/>
    <w:rsid w:val="00BA3F7B"/>
    <w:pPr>
      <w:numPr>
        <w:numId w:val="47"/>
      </w:numPr>
      <w:outlineLvl w:val="0"/>
    </w:pPr>
    <w:rPr>
      <w:snapToGrid w:val="0"/>
      <w:lang w:eastAsia="en-US"/>
    </w:rPr>
  </w:style>
  <w:style w:type="paragraph" w:customStyle="1" w:styleId="Dash2">
    <w:name w:val="Dash 2"/>
    <w:basedOn w:val="Normal"/>
    <w:rsid w:val="00BA3F7B"/>
    <w:pPr>
      <w:numPr>
        <w:numId w:val="48"/>
      </w:numPr>
      <w:outlineLvl w:val="1"/>
    </w:pPr>
    <w:rPr>
      <w:snapToGrid w:val="0"/>
      <w:lang w:eastAsia="en-US"/>
    </w:rPr>
  </w:style>
  <w:style w:type="paragraph" w:customStyle="1" w:styleId="Dash3">
    <w:name w:val="Dash 3"/>
    <w:basedOn w:val="Normal"/>
    <w:rsid w:val="00BA3F7B"/>
    <w:pPr>
      <w:numPr>
        <w:numId w:val="49"/>
      </w:numPr>
      <w:outlineLvl w:val="2"/>
    </w:pPr>
    <w:rPr>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842736">
      <w:bodyDiv w:val="1"/>
      <w:marLeft w:val="0"/>
      <w:marRight w:val="0"/>
      <w:marTop w:val="0"/>
      <w:marBottom w:val="0"/>
      <w:divBdr>
        <w:top w:val="none" w:sz="0" w:space="0" w:color="auto"/>
        <w:left w:val="none" w:sz="0" w:space="0" w:color="auto"/>
        <w:bottom w:val="none" w:sz="0" w:space="0" w:color="auto"/>
        <w:right w:val="none" w:sz="0" w:space="0" w:color="auto"/>
      </w:divBdr>
    </w:div>
    <w:div w:id="307786937">
      <w:bodyDiv w:val="1"/>
      <w:marLeft w:val="0"/>
      <w:marRight w:val="0"/>
      <w:marTop w:val="0"/>
      <w:marBottom w:val="0"/>
      <w:divBdr>
        <w:top w:val="none" w:sz="0" w:space="0" w:color="auto"/>
        <w:left w:val="none" w:sz="0" w:space="0" w:color="auto"/>
        <w:bottom w:val="none" w:sz="0" w:space="0" w:color="auto"/>
        <w:right w:val="none" w:sz="0" w:space="0" w:color="auto"/>
      </w:divBdr>
      <w:divsChild>
        <w:div w:id="1818378038">
          <w:marLeft w:val="0"/>
          <w:marRight w:val="0"/>
          <w:marTop w:val="0"/>
          <w:marBottom w:val="0"/>
          <w:divBdr>
            <w:top w:val="none" w:sz="0" w:space="0" w:color="auto"/>
            <w:left w:val="none" w:sz="0" w:space="0" w:color="auto"/>
            <w:bottom w:val="none" w:sz="0" w:space="0" w:color="auto"/>
            <w:right w:val="none" w:sz="0" w:space="0" w:color="auto"/>
          </w:divBdr>
          <w:divsChild>
            <w:div w:id="1360859967">
              <w:marLeft w:val="0"/>
              <w:marRight w:val="0"/>
              <w:marTop w:val="0"/>
              <w:marBottom w:val="0"/>
              <w:divBdr>
                <w:top w:val="none" w:sz="0" w:space="0" w:color="auto"/>
                <w:left w:val="none" w:sz="0" w:space="0" w:color="auto"/>
                <w:bottom w:val="none" w:sz="0" w:space="0" w:color="auto"/>
                <w:right w:val="none" w:sz="0" w:space="0" w:color="auto"/>
              </w:divBdr>
              <w:divsChild>
                <w:div w:id="233514192">
                  <w:marLeft w:val="0"/>
                  <w:marRight w:val="0"/>
                  <w:marTop w:val="0"/>
                  <w:marBottom w:val="0"/>
                  <w:divBdr>
                    <w:top w:val="none" w:sz="0" w:space="0" w:color="auto"/>
                    <w:left w:val="none" w:sz="0" w:space="0" w:color="auto"/>
                    <w:bottom w:val="none" w:sz="0" w:space="0" w:color="auto"/>
                    <w:right w:val="none" w:sz="0" w:space="0" w:color="auto"/>
                  </w:divBdr>
                  <w:divsChild>
                    <w:div w:id="1279680716">
                      <w:marLeft w:val="0"/>
                      <w:marRight w:val="0"/>
                      <w:marTop w:val="0"/>
                      <w:marBottom w:val="0"/>
                      <w:divBdr>
                        <w:top w:val="none" w:sz="0" w:space="0" w:color="auto"/>
                        <w:left w:val="none" w:sz="0" w:space="0" w:color="auto"/>
                        <w:bottom w:val="none" w:sz="0" w:space="0" w:color="auto"/>
                        <w:right w:val="none" w:sz="0" w:space="0" w:color="auto"/>
                      </w:divBdr>
                      <w:divsChild>
                        <w:div w:id="551771094">
                          <w:marLeft w:val="0"/>
                          <w:marRight w:val="0"/>
                          <w:marTop w:val="0"/>
                          <w:marBottom w:val="0"/>
                          <w:divBdr>
                            <w:top w:val="none" w:sz="0" w:space="0" w:color="auto"/>
                            <w:left w:val="none" w:sz="0" w:space="0" w:color="auto"/>
                            <w:bottom w:val="none" w:sz="0" w:space="0" w:color="auto"/>
                            <w:right w:val="none" w:sz="0" w:space="0" w:color="auto"/>
                          </w:divBdr>
                          <w:divsChild>
                            <w:div w:id="100029467">
                              <w:marLeft w:val="0"/>
                              <w:marRight w:val="0"/>
                              <w:marTop w:val="0"/>
                              <w:marBottom w:val="0"/>
                              <w:divBdr>
                                <w:top w:val="none" w:sz="0" w:space="0" w:color="auto"/>
                                <w:left w:val="none" w:sz="0" w:space="0" w:color="auto"/>
                                <w:bottom w:val="none" w:sz="0" w:space="0" w:color="auto"/>
                                <w:right w:val="none" w:sz="0" w:space="0" w:color="auto"/>
                              </w:divBdr>
                              <w:divsChild>
                                <w:div w:id="714230886">
                                  <w:marLeft w:val="0"/>
                                  <w:marRight w:val="0"/>
                                  <w:marTop w:val="0"/>
                                  <w:marBottom w:val="0"/>
                                  <w:divBdr>
                                    <w:top w:val="none" w:sz="0" w:space="0" w:color="auto"/>
                                    <w:left w:val="none" w:sz="0" w:space="0" w:color="auto"/>
                                    <w:bottom w:val="none" w:sz="0" w:space="0" w:color="auto"/>
                                    <w:right w:val="none" w:sz="0" w:space="0" w:color="auto"/>
                                  </w:divBdr>
                                  <w:divsChild>
                                    <w:div w:id="471405403">
                                      <w:marLeft w:val="0"/>
                                      <w:marRight w:val="0"/>
                                      <w:marTop w:val="0"/>
                                      <w:marBottom w:val="0"/>
                                      <w:divBdr>
                                        <w:top w:val="none" w:sz="0" w:space="0" w:color="auto"/>
                                        <w:left w:val="none" w:sz="0" w:space="0" w:color="auto"/>
                                        <w:bottom w:val="none" w:sz="0" w:space="0" w:color="auto"/>
                                        <w:right w:val="none" w:sz="0" w:space="0" w:color="auto"/>
                                      </w:divBdr>
                                      <w:divsChild>
                                        <w:div w:id="1775244840">
                                          <w:marLeft w:val="0"/>
                                          <w:marRight w:val="0"/>
                                          <w:marTop w:val="0"/>
                                          <w:marBottom w:val="0"/>
                                          <w:divBdr>
                                            <w:top w:val="none" w:sz="0" w:space="0" w:color="auto"/>
                                            <w:left w:val="none" w:sz="0" w:space="0" w:color="auto"/>
                                            <w:bottom w:val="none" w:sz="0" w:space="0" w:color="auto"/>
                                            <w:right w:val="none" w:sz="0" w:space="0" w:color="auto"/>
                                          </w:divBdr>
                                          <w:divsChild>
                                            <w:div w:id="1601180923">
                                              <w:marLeft w:val="0"/>
                                              <w:marRight w:val="0"/>
                                              <w:marTop w:val="0"/>
                                              <w:marBottom w:val="0"/>
                                              <w:divBdr>
                                                <w:top w:val="single" w:sz="6" w:space="0" w:color="F5F5F5"/>
                                                <w:left w:val="single" w:sz="6" w:space="0" w:color="F5F5F5"/>
                                                <w:bottom w:val="single" w:sz="6" w:space="0" w:color="F5F5F5"/>
                                                <w:right w:val="single" w:sz="6" w:space="0" w:color="F5F5F5"/>
                                              </w:divBdr>
                                              <w:divsChild>
                                                <w:div w:id="1513565753">
                                                  <w:marLeft w:val="0"/>
                                                  <w:marRight w:val="0"/>
                                                  <w:marTop w:val="0"/>
                                                  <w:marBottom w:val="0"/>
                                                  <w:divBdr>
                                                    <w:top w:val="none" w:sz="0" w:space="0" w:color="auto"/>
                                                    <w:left w:val="none" w:sz="0" w:space="0" w:color="auto"/>
                                                    <w:bottom w:val="none" w:sz="0" w:space="0" w:color="auto"/>
                                                    <w:right w:val="none" w:sz="0" w:space="0" w:color="auto"/>
                                                  </w:divBdr>
                                                  <w:divsChild>
                                                    <w:div w:id="13030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022428">
      <w:bodyDiv w:val="1"/>
      <w:marLeft w:val="0"/>
      <w:marRight w:val="0"/>
      <w:marTop w:val="0"/>
      <w:marBottom w:val="0"/>
      <w:divBdr>
        <w:top w:val="none" w:sz="0" w:space="0" w:color="auto"/>
        <w:left w:val="none" w:sz="0" w:space="0" w:color="auto"/>
        <w:bottom w:val="none" w:sz="0" w:space="0" w:color="auto"/>
        <w:right w:val="none" w:sz="0" w:space="0" w:color="auto"/>
      </w:divBdr>
    </w:div>
    <w:div w:id="447553005">
      <w:bodyDiv w:val="1"/>
      <w:marLeft w:val="0"/>
      <w:marRight w:val="0"/>
      <w:marTop w:val="0"/>
      <w:marBottom w:val="0"/>
      <w:divBdr>
        <w:top w:val="none" w:sz="0" w:space="0" w:color="auto"/>
        <w:left w:val="none" w:sz="0" w:space="0" w:color="auto"/>
        <w:bottom w:val="none" w:sz="0" w:space="0" w:color="auto"/>
        <w:right w:val="none" w:sz="0" w:space="0" w:color="auto"/>
      </w:divBdr>
    </w:div>
    <w:div w:id="489710164">
      <w:bodyDiv w:val="1"/>
      <w:marLeft w:val="0"/>
      <w:marRight w:val="0"/>
      <w:marTop w:val="0"/>
      <w:marBottom w:val="0"/>
      <w:divBdr>
        <w:top w:val="none" w:sz="0" w:space="0" w:color="auto"/>
        <w:left w:val="none" w:sz="0" w:space="0" w:color="auto"/>
        <w:bottom w:val="none" w:sz="0" w:space="0" w:color="auto"/>
        <w:right w:val="none" w:sz="0" w:space="0" w:color="auto"/>
      </w:divBdr>
    </w:div>
    <w:div w:id="716586665">
      <w:bodyDiv w:val="1"/>
      <w:marLeft w:val="0"/>
      <w:marRight w:val="0"/>
      <w:marTop w:val="0"/>
      <w:marBottom w:val="0"/>
      <w:divBdr>
        <w:top w:val="none" w:sz="0" w:space="0" w:color="auto"/>
        <w:left w:val="none" w:sz="0" w:space="0" w:color="auto"/>
        <w:bottom w:val="none" w:sz="0" w:space="0" w:color="auto"/>
        <w:right w:val="none" w:sz="0" w:space="0" w:color="auto"/>
      </w:divBdr>
    </w:div>
    <w:div w:id="852452323">
      <w:bodyDiv w:val="1"/>
      <w:marLeft w:val="0"/>
      <w:marRight w:val="0"/>
      <w:marTop w:val="0"/>
      <w:marBottom w:val="0"/>
      <w:divBdr>
        <w:top w:val="none" w:sz="0" w:space="0" w:color="auto"/>
        <w:left w:val="none" w:sz="0" w:space="0" w:color="auto"/>
        <w:bottom w:val="none" w:sz="0" w:space="0" w:color="auto"/>
        <w:right w:val="none" w:sz="0" w:space="0" w:color="auto"/>
      </w:divBdr>
    </w:div>
    <w:div w:id="966930637">
      <w:bodyDiv w:val="1"/>
      <w:marLeft w:val="0"/>
      <w:marRight w:val="0"/>
      <w:marTop w:val="0"/>
      <w:marBottom w:val="0"/>
      <w:divBdr>
        <w:top w:val="none" w:sz="0" w:space="0" w:color="auto"/>
        <w:left w:val="none" w:sz="0" w:space="0" w:color="auto"/>
        <w:bottom w:val="none" w:sz="0" w:space="0" w:color="auto"/>
        <w:right w:val="none" w:sz="0" w:space="0" w:color="auto"/>
      </w:divBdr>
    </w:div>
    <w:div w:id="1071196662">
      <w:bodyDiv w:val="1"/>
      <w:marLeft w:val="0"/>
      <w:marRight w:val="0"/>
      <w:marTop w:val="0"/>
      <w:marBottom w:val="0"/>
      <w:divBdr>
        <w:top w:val="none" w:sz="0" w:space="0" w:color="auto"/>
        <w:left w:val="none" w:sz="0" w:space="0" w:color="auto"/>
        <w:bottom w:val="none" w:sz="0" w:space="0" w:color="auto"/>
        <w:right w:val="none" w:sz="0" w:space="0" w:color="auto"/>
      </w:divBdr>
    </w:div>
    <w:div w:id="1099445074">
      <w:bodyDiv w:val="1"/>
      <w:marLeft w:val="0"/>
      <w:marRight w:val="0"/>
      <w:marTop w:val="0"/>
      <w:marBottom w:val="0"/>
      <w:divBdr>
        <w:top w:val="none" w:sz="0" w:space="0" w:color="auto"/>
        <w:left w:val="none" w:sz="0" w:space="0" w:color="auto"/>
        <w:bottom w:val="none" w:sz="0" w:space="0" w:color="auto"/>
        <w:right w:val="none" w:sz="0" w:space="0" w:color="auto"/>
      </w:divBdr>
    </w:div>
    <w:div w:id="1571232617">
      <w:bodyDiv w:val="1"/>
      <w:marLeft w:val="0"/>
      <w:marRight w:val="0"/>
      <w:marTop w:val="0"/>
      <w:marBottom w:val="0"/>
      <w:divBdr>
        <w:top w:val="none" w:sz="0" w:space="0" w:color="auto"/>
        <w:left w:val="none" w:sz="0" w:space="0" w:color="auto"/>
        <w:bottom w:val="none" w:sz="0" w:space="0" w:color="auto"/>
        <w:right w:val="none" w:sz="0" w:space="0" w:color="auto"/>
      </w:divBdr>
      <w:divsChild>
        <w:div w:id="96604801">
          <w:marLeft w:val="0"/>
          <w:marRight w:val="0"/>
          <w:marTop w:val="300"/>
          <w:marBottom w:val="0"/>
          <w:divBdr>
            <w:top w:val="none" w:sz="0" w:space="0" w:color="auto"/>
            <w:left w:val="none" w:sz="0" w:space="0" w:color="auto"/>
            <w:bottom w:val="none" w:sz="0" w:space="0" w:color="auto"/>
            <w:right w:val="none" w:sz="0" w:space="0" w:color="auto"/>
          </w:divBdr>
          <w:divsChild>
            <w:div w:id="2068647827">
              <w:marLeft w:val="0"/>
              <w:marRight w:val="0"/>
              <w:marTop w:val="0"/>
              <w:marBottom w:val="0"/>
              <w:divBdr>
                <w:top w:val="single" w:sz="6" w:space="8" w:color="AEAB96"/>
                <w:left w:val="single" w:sz="6" w:space="0" w:color="AEAB96"/>
                <w:bottom w:val="single" w:sz="6" w:space="8" w:color="AEAB96"/>
                <w:right w:val="single" w:sz="6" w:space="0" w:color="AEAB96"/>
              </w:divBdr>
              <w:divsChild>
                <w:div w:id="372927582">
                  <w:marLeft w:val="0"/>
                  <w:marRight w:val="0"/>
                  <w:marTop w:val="0"/>
                  <w:marBottom w:val="0"/>
                  <w:divBdr>
                    <w:top w:val="none" w:sz="0" w:space="0" w:color="auto"/>
                    <w:left w:val="none" w:sz="0" w:space="0" w:color="auto"/>
                    <w:bottom w:val="none" w:sz="0" w:space="0" w:color="auto"/>
                    <w:right w:val="none" w:sz="0" w:space="0" w:color="auto"/>
                  </w:divBdr>
                  <w:divsChild>
                    <w:div w:id="1577125692">
                      <w:marLeft w:val="0"/>
                      <w:marRight w:val="0"/>
                      <w:marTop w:val="0"/>
                      <w:marBottom w:val="0"/>
                      <w:divBdr>
                        <w:top w:val="none" w:sz="0" w:space="0" w:color="auto"/>
                        <w:left w:val="none" w:sz="0" w:space="0" w:color="auto"/>
                        <w:bottom w:val="none" w:sz="0" w:space="0" w:color="auto"/>
                        <w:right w:val="none" w:sz="0" w:space="0" w:color="auto"/>
                      </w:divBdr>
                      <w:divsChild>
                        <w:div w:id="1383867410">
                          <w:marLeft w:val="0"/>
                          <w:marRight w:val="0"/>
                          <w:marTop w:val="0"/>
                          <w:marBottom w:val="0"/>
                          <w:divBdr>
                            <w:top w:val="none" w:sz="0" w:space="0" w:color="auto"/>
                            <w:left w:val="none" w:sz="0" w:space="0" w:color="auto"/>
                            <w:bottom w:val="none" w:sz="0" w:space="0" w:color="auto"/>
                            <w:right w:val="none" w:sz="0" w:space="0" w:color="auto"/>
                          </w:divBdr>
                          <w:divsChild>
                            <w:div w:id="990404820">
                              <w:marLeft w:val="0"/>
                              <w:marRight w:val="0"/>
                              <w:marTop w:val="0"/>
                              <w:marBottom w:val="0"/>
                              <w:divBdr>
                                <w:top w:val="none" w:sz="0" w:space="0" w:color="auto"/>
                                <w:left w:val="none" w:sz="0" w:space="0" w:color="auto"/>
                                <w:bottom w:val="none" w:sz="0" w:space="0" w:color="auto"/>
                                <w:right w:val="none" w:sz="0" w:space="0" w:color="auto"/>
                              </w:divBdr>
                              <w:divsChild>
                                <w:div w:id="2108479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arine-litter-conference-berlin.info/userfiles/file/Message%20from%20Berlin.pdf" TargetMode="Externa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11</Pages>
  <Words>4578</Words>
  <Characters>32740</Characters>
  <Application>Microsoft Office Word</Application>
  <DocSecurity>0</DocSecurity>
  <Lines>528</Lines>
  <Paragraphs>164</Paragraphs>
  <ScaleCrop>false</ScaleCrop>
  <HeadingPairs>
    <vt:vector size="2" baseType="variant">
      <vt:variant>
        <vt:lpstr>Title</vt:lpstr>
      </vt:variant>
      <vt:variant>
        <vt:i4>1</vt:i4>
      </vt:variant>
    </vt:vector>
  </HeadingPairs>
  <TitlesOfParts>
    <vt:vector size="1" baseType="lpstr">
      <vt:lpstr>Informatīvais ziņojums „Par 2013.gada 18.jūnijā Eiropas Savienības Vides padomē izskatāmajiem jautājumiem”</vt:lpstr>
    </vt:vector>
  </TitlesOfParts>
  <Company/>
  <LinksUpToDate>false</LinksUpToDate>
  <CharactersWithSpaces>37154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2013.gada 18.jūnijā Eiropas Savienības Vides padomē izskatāmajiem jautājumiem”</dc:title>
  <dc:subject>Informatīvais ziņojums</dc:subject>
  <dc:creator>Ilze Vonda</dc:creator>
  <dc:description>67026554, ilze.vonda@varam.gov.lv</dc:description>
  <cp:lastModifiedBy>ilzev</cp:lastModifiedBy>
  <cp:revision>439</cp:revision>
  <cp:lastPrinted>2013-04-11T10:37:00Z</cp:lastPrinted>
  <dcterms:created xsi:type="dcterms:W3CDTF">2013-04-15T09:51:00Z</dcterms:created>
  <dcterms:modified xsi:type="dcterms:W3CDTF">2013-06-10T06:44:00Z</dcterms:modified>
</cp:coreProperties>
</file>